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 xml:space="preserve">Проект «Разработка креативных подарков для партнеров компании»</w:t>
      </w:r>
      <w:r>
        <w:rPr>
          <w:rFonts w:asciiTheme="minorHAnsi" w:hAnsiTheme="minorHAnsi"/>
          <w:b/>
          <w:sz w:val="24"/>
        </w:rPr>
      </w:r>
    </w:p>
    <w:tbl>
      <w:tblPr>
        <w:tblStyle w:val="651"/>
        <w:tblpPr w:horzAnchor="margin" w:tblpXSpec="left" w:vertAnchor="page" w:tblpY="1621" w:leftFromText="180" w:topFromText="0" w:rightFromText="180" w:bottomFromText="0"/>
        <w:tblW w:w="15467" w:type="dxa"/>
        <w:tblBorders>
          <w:top w:val="single" w:color="0070C0" w:sz="4" w:space="0"/>
          <w:left w:val="single" w:color="0070C0" w:sz="4" w:space="0"/>
          <w:bottom w:val="single" w:color="0070C0" w:sz="4" w:space="0"/>
          <w:right w:val="single" w:color="0070C0" w:sz="4" w:space="0"/>
          <w:insideH w:val="single" w:color="0070C0" w:sz="4" w:space="0"/>
          <w:insideV w:val="single" w:color="0070C0" w:sz="4" w:space="0"/>
        </w:tblBorders>
        <w:tblLayout w:type="fixed"/>
        <w:tblLook w:val="01E0" w:firstRow="1" w:lastRow="1" w:firstColumn="1" w:lastColumn="1" w:noHBand="0" w:noVBand="0"/>
      </w:tblPr>
      <w:tblGrid>
        <w:gridCol w:w="1684"/>
        <w:gridCol w:w="4594"/>
        <w:gridCol w:w="4594"/>
        <w:gridCol w:w="4595"/>
      </w:tblGrid>
      <w:tr>
        <w:tblPrEx/>
        <w:trPr>
          <w:trHeight w:val="431"/>
        </w:trPr>
        <w:tc>
          <w:tcPr>
            <w:tcW w:w="1684" w:type="dxa"/>
            <w:textDirection w:val="lrTb"/>
            <w:noWrap w:val="false"/>
          </w:tcPr>
          <w:p>
            <w:pPr>
              <w:pStyle w:val="653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594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  <w:color w:val="0070c0"/>
                <w:sz w:val="24"/>
                <w:szCs w:val="24"/>
              </w:rPr>
            </w:pPr>
            <w:r>
              <w:rPr>
                <w:rFonts w:asciiTheme="minorHAnsi" w:hAnsiTheme="minorHAnsi"/>
                <w:color w:val="0070c0"/>
                <w:sz w:val="24"/>
                <w:szCs w:val="24"/>
              </w:rPr>
              <w:t xml:space="preserve">Сувенирная продукция массового спроса</w:t>
            </w:r>
            <w:r>
              <w:rPr>
                <w:rFonts w:asciiTheme="minorHAnsi" w:hAnsiTheme="minorHAnsi"/>
                <w:color w:val="0070c0"/>
                <w:sz w:val="24"/>
                <w:szCs w:val="24"/>
              </w:rPr>
            </w:r>
          </w:p>
          <w:p>
            <w:pPr>
              <w:jc w:val="center"/>
              <w:rPr>
                <w:rFonts w:asciiTheme="minorHAnsi" w:hAnsiTheme="minorHAnsi"/>
                <w:color w:val="0070c0"/>
                <w:sz w:val="24"/>
                <w:szCs w:val="24"/>
              </w:rPr>
            </w:pPr>
            <w:r>
              <w:rPr>
                <w:rFonts w:asciiTheme="minorHAnsi" w:hAnsiTheme="minorHAnsi"/>
                <w:color w:val="0070c0"/>
                <w:sz w:val="24"/>
                <w:szCs w:val="24"/>
              </w:rPr>
              <w:t xml:space="preserve">(МЕРЧ)</w:t>
            </w:r>
            <w:r>
              <w:rPr>
                <w:rFonts w:asciiTheme="minorHAnsi" w:hAnsiTheme="minorHAnsi"/>
                <w:color w:val="0070c0"/>
                <w:sz w:val="24"/>
                <w:szCs w:val="24"/>
              </w:rPr>
            </w:r>
          </w:p>
        </w:tc>
        <w:tc>
          <w:tcPr>
            <w:tcW w:w="4594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  <w:color w:val="0070c0"/>
                <w:sz w:val="24"/>
                <w:szCs w:val="24"/>
              </w:rPr>
            </w:pPr>
            <w:r>
              <w:rPr>
                <w:rFonts w:asciiTheme="minorHAnsi" w:hAnsiTheme="minorHAnsi"/>
                <w:color w:val="0070c0"/>
                <w:sz w:val="24"/>
                <w:szCs w:val="24"/>
              </w:rPr>
              <w:t xml:space="preserve">Топ - менеджмент</w:t>
            </w:r>
            <w:r>
              <w:rPr>
                <w:rFonts w:asciiTheme="minorHAnsi" w:hAnsiTheme="minorHAnsi"/>
                <w:color w:val="0070c0"/>
                <w:sz w:val="24"/>
                <w:szCs w:val="24"/>
              </w:rPr>
            </w:r>
          </w:p>
        </w:tc>
        <w:tc>
          <w:tcPr>
            <w:tcW w:w="4595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  <w:color w:val="0070c0"/>
                <w:sz w:val="24"/>
                <w:szCs w:val="24"/>
              </w:rPr>
            </w:pPr>
            <w:r>
              <w:rPr>
                <w:rFonts w:asciiTheme="minorHAnsi" w:hAnsiTheme="minorHAnsi"/>
                <w:color w:val="0070c0"/>
                <w:sz w:val="24"/>
                <w:szCs w:val="24"/>
              </w:rPr>
              <w:t xml:space="preserve">Иностранные партнеры</w:t>
            </w:r>
            <w:r>
              <w:rPr>
                <w:rFonts w:asciiTheme="minorHAnsi" w:hAnsiTheme="minorHAnsi"/>
                <w:color w:val="0070c0"/>
                <w:sz w:val="24"/>
                <w:szCs w:val="24"/>
              </w:rPr>
            </w:r>
          </w:p>
        </w:tc>
      </w:tr>
      <w:tr>
        <w:tblPrEx/>
        <w:trPr>
          <w:trHeight w:val="1317"/>
        </w:trPr>
        <w:tc>
          <w:tcPr>
            <w:tcW w:w="168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Целевая аудитория</w:t>
            </w:r>
            <w:r>
              <w:rPr>
                <w:rFonts w:ascii="Calibri" w:hAnsi="Calibri"/>
                <w:b/>
              </w:rPr>
            </w:r>
          </w:p>
        </w:tc>
        <w:tc>
          <w:tcPr>
            <w:tcW w:w="4594" w:type="dxa"/>
            <w:textDirection w:val="lrTb"/>
            <w:noWrap w:val="false"/>
          </w:tcPr>
          <w:p>
            <w:pPr>
              <w:ind w:left="159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>
              <w:rPr>
                <w:rFonts w:asciiTheme="minorHAnsi" w:hAnsiTheme="minorHAnsi"/>
              </w:rPr>
              <w:t xml:space="preserve">Руководители среднего звена крупных компаний и государственных корпораций российских и иностранных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</w:r>
          </w:p>
          <w:p>
            <w:pPr>
              <w:ind w:left="159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П</w:t>
            </w:r>
            <w:r>
              <w:rPr>
                <w:rFonts w:asciiTheme="minorHAnsi" w:hAnsiTheme="minorHAnsi"/>
              </w:rPr>
              <w:t xml:space="preserve">редставители органов власти</w:t>
            </w:r>
            <w:r>
              <w:rPr>
                <w:rFonts w:asciiTheme="minorHAnsi" w:hAnsiTheme="minorHAnsi"/>
              </w:rPr>
            </w:r>
          </w:p>
          <w:p>
            <w:pPr>
              <w:ind w:left="159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С</w:t>
            </w:r>
            <w:r>
              <w:rPr>
                <w:rFonts w:asciiTheme="minorHAnsi" w:hAnsiTheme="minorHAnsi"/>
              </w:rPr>
              <w:t xml:space="preserve">туденты</w:t>
            </w:r>
            <w:r>
              <w:rPr>
                <w:rFonts w:asciiTheme="minorHAnsi" w:hAnsiTheme="minorHAnsi"/>
              </w:rPr>
            </w:r>
          </w:p>
        </w:tc>
        <w:tc>
          <w:tcPr>
            <w:tcW w:w="4594" w:type="dxa"/>
            <w:textDirection w:val="lrTb"/>
            <w:noWrap w:val="false"/>
          </w:tcPr>
          <w:p>
            <w:pPr>
              <w:ind w:left="101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>
              <w:rPr>
                <w:rFonts w:asciiTheme="minorHAnsi" w:hAnsiTheme="minorHAnsi"/>
              </w:rPr>
              <w:t xml:space="preserve">Топ-менеджмент крупных компаний и государственных корпораций</w:t>
            </w:r>
            <w:r>
              <w:rPr>
                <w:rFonts w:asciiTheme="minorHAnsi" w:hAnsiTheme="minorHAnsi"/>
              </w:rPr>
            </w:r>
          </w:p>
          <w:p>
            <w:pPr>
              <w:ind w:left="101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П</w:t>
            </w:r>
            <w:r>
              <w:rPr>
                <w:rFonts w:asciiTheme="minorHAnsi" w:hAnsiTheme="minorHAnsi"/>
              </w:rPr>
              <w:t xml:space="preserve">редставители органов власти</w:t>
            </w:r>
            <w:r>
              <w:rPr>
                <w:rFonts w:asciiTheme="minorHAnsi" w:hAnsiTheme="minorHAnsi"/>
              </w:rPr>
            </w:r>
          </w:p>
        </w:tc>
        <w:tc>
          <w:tcPr>
            <w:tcW w:w="4595" w:type="dxa"/>
            <w:textDirection w:val="lrTb"/>
            <w:noWrap w:val="false"/>
          </w:tcPr>
          <w:p>
            <w:pPr>
              <w:ind w:left="185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Иностранные партнеры:</w:t>
            </w:r>
            <w:r>
              <w:rPr>
                <w:rFonts w:asciiTheme="minorHAnsi" w:hAnsiTheme="minorHAnsi"/>
              </w:rPr>
            </w:r>
          </w:p>
          <w:p>
            <w:pPr>
              <w:ind w:left="185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>
              <w:rPr>
                <w:rFonts w:asciiTheme="minorHAnsi" w:hAnsiTheme="minorHAnsi"/>
              </w:rPr>
              <w:t xml:space="preserve">Топ-менеджмент компаний,</w:t>
            </w:r>
            <w:r>
              <w:rPr>
                <w:rFonts w:asciiTheme="minorHAnsi" w:hAnsiTheme="minorHAnsi"/>
              </w:rPr>
            </w:r>
          </w:p>
          <w:p>
            <w:pPr>
              <w:ind w:left="185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М</w:t>
            </w:r>
            <w:r>
              <w:rPr>
                <w:rFonts w:asciiTheme="minorHAnsi" w:hAnsiTheme="minorHAnsi"/>
              </w:rPr>
              <w:t xml:space="preserve">енеджмент среднего звена,</w:t>
            </w:r>
            <w:r>
              <w:rPr>
                <w:rFonts w:asciiTheme="minorHAnsi" w:hAnsiTheme="minorHAnsi"/>
              </w:rPr>
            </w:r>
          </w:p>
          <w:p>
            <w:pPr>
              <w:ind w:left="185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П</w:t>
            </w:r>
            <w:r>
              <w:rPr>
                <w:rFonts w:asciiTheme="minorHAnsi" w:hAnsiTheme="minorHAnsi"/>
              </w:rPr>
              <w:t xml:space="preserve">редставители власти.</w:t>
            </w:r>
            <w:r>
              <w:rPr>
                <w:rFonts w:asciiTheme="minorHAnsi" w:hAnsiTheme="minorHAnsi"/>
              </w:rPr>
            </w:r>
          </w:p>
          <w:p>
            <w:pPr>
              <w:ind w:left="185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Страны партнеры: Китай, Индия, Средняя Азия, Ближний Восток, Африка</w:t>
            </w:r>
            <w:r>
              <w:rPr>
                <w:rFonts w:asciiTheme="minorHAnsi" w:hAnsiTheme="minorHAnsi"/>
              </w:rPr>
            </w:r>
          </w:p>
        </w:tc>
      </w:tr>
      <w:tr>
        <w:tblPrEx/>
        <w:trPr>
          <w:trHeight w:val="1901"/>
        </w:trPr>
        <w:tc>
          <w:tcPr>
            <w:tcW w:w="168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Поводы для вручения</w:t>
            </w:r>
            <w:r>
              <w:rPr>
                <w:rFonts w:ascii="Calibri" w:hAnsi="Calibri"/>
                <w:b/>
              </w:rPr>
            </w:r>
          </w:p>
        </w:tc>
        <w:tc>
          <w:tcPr>
            <w:tcW w:w="4594" w:type="dxa"/>
            <w:textDirection w:val="lrTb"/>
            <w:noWrap w:val="false"/>
          </w:tcPr>
          <w:p>
            <w:pPr>
              <w:ind w:left="159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>
              <w:rPr>
                <w:rFonts w:asciiTheme="minorHAnsi" w:hAnsiTheme="minorHAnsi"/>
              </w:rPr>
              <w:t xml:space="preserve">ДР</w:t>
            </w:r>
            <w:r>
              <w:rPr>
                <w:rFonts w:asciiTheme="minorHAnsi" w:hAnsiTheme="minorHAnsi"/>
              </w:rPr>
            </w:r>
          </w:p>
          <w:p>
            <w:pPr>
              <w:ind w:left="159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>
              <w:rPr>
                <w:rFonts w:asciiTheme="minorHAnsi" w:hAnsiTheme="minorHAnsi"/>
              </w:rPr>
              <w:t xml:space="preserve">Д</w:t>
            </w:r>
            <w:r>
              <w:rPr>
                <w:rFonts w:asciiTheme="minorHAnsi" w:hAnsiTheme="minorHAnsi"/>
              </w:rPr>
              <w:t xml:space="preserve">ень</w:t>
            </w:r>
            <w:r>
              <w:rPr>
                <w:rFonts w:asciiTheme="minorHAnsi" w:hAnsiTheme="minorHAnsi"/>
              </w:rPr>
              <w:t xml:space="preserve"> нефтяника</w:t>
            </w:r>
            <w:r>
              <w:rPr>
                <w:rFonts w:asciiTheme="minorHAnsi" w:hAnsiTheme="minorHAnsi"/>
              </w:rPr>
            </w:r>
          </w:p>
          <w:p>
            <w:pPr>
              <w:ind w:left="159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>
              <w:rPr>
                <w:rFonts w:asciiTheme="minorHAnsi" w:hAnsiTheme="minorHAnsi"/>
              </w:rPr>
              <w:t xml:space="preserve">Назначения на новую должность</w:t>
            </w:r>
            <w:r>
              <w:rPr>
                <w:rFonts w:asciiTheme="minorHAnsi" w:hAnsiTheme="minorHAnsi"/>
              </w:rPr>
            </w:r>
          </w:p>
          <w:p>
            <w:pPr>
              <w:ind w:left="159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О</w:t>
            </w:r>
            <w:r>
              <w:rPr>
                <w:rFonts w:asciiTheme="minorHAnsi" w:hAnsiTheme="minorHAnsi"/>
              </w:rPr>
              <w:t xml:space="preserve">бщегосударственные и профессиональные праздники</w:t>
            </w:r>
            <w:r>
              <w:rPr>
                <w:rFonts w:asciiTheme="minorHAnsi" w:hAnsiTheme="minorHAnsi"/>
              </w:rPr>
            </w:r>
          </w:p>
          <w:p>
            <w:pPr>
              <w:ind w:left="159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С</w:t>
            </w:r>
            <w:r>
              <w:rPr>
                <w:rFonts w:asciiTheme="minorHAnsi" w:hAnsiTheme="minorHAnsi"/>
              </w:rPr>
              <w:t xml:space="preserve">оревнования</w:t>
            </w:r>
            <w:r>
              <w:rPr>
                <w:rFonts w:asciiTheme="minorHAnsi" w:hAnsiTheme="minorHAnsi"/>
              </w:rPr>
            </w:r>
          </w:p>
          <w:p>
            <w:pPr>
              <w:ind w:left="159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П</w:t>
            </w:r>
            <w:r>
              <w:rPr>
                <w:rFonts w:asciiTheme="minorHAnsi" w:hAnsiTheme="minorHAnsi"/>
              </w:rPr>
              <w:t xml:space="preserve">рочие значимые события</w:t>
            </w:r>
            <w:r>
              <w:rPr>
                <w:rFonts w:asciiTheme="minorHAnsi" w:hAnsiTheme="minorHAnsi"/>
              </w:rPr>
            </w:r>
          </w:p>
        </w:tc>
        <w:tc>
          <w:tcPr>
            <w:tcW w:w="4594" w:type="dxa"/>
            <w:textDirection w:val="lrTb"/>
            <w:noWrap w:val="false"/>
          </w:tcPr>
          <w:p>
            <w:pPr>
              <w:ind w:left="159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>
              <w:rPr>
                <w:rFonts w:asciiTheme="minorHAnsi" w:hAnsiTheme="minorHAnsi"/>
              </w:rPr>
              <w:t xml:space="preserve">ДР</w:t>
            </w:r>
            <w:r>
              <w:rPr>
                <w:rFonts w:asciiTheme="minorHAnsi" w:hAnsiTheme="minorHAnsi"/>
              </w:rPr>
            </w:r>
          </w:p>
          <w:p>
            <w:pPr>
              <w:ind w:left="159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>
              <w:rPr>
                <w:rFonts w:asciiTheme="minorHAnsi" w:hAnsiTheme="minorHAnsi"/>
              </w:rPr>
              <w:t xml:space="preserve">Д</w:t>
            </w:r>
            <w:r>
              <w:rPr>
                <w:rFonts w:asciiTheme="minorHAnsi" w:hAnsiTheme="minorHAnsi"/>
              </w:rPr>
              <w:t xml:space="preserve">ень</w:t>
            </w:r>
            <w:r>
              <w:rPr>
                <w:rFonts w:asciiTheme="minorHAnsi" w:hAnsiTheme="minorHAnsi"/>
              </w:rPr>
              <w:t xml:space="preserve"> нефтяника</w:t>
            </w:r>
            <w:r>
              <w:rPr>
                <w:rFonts w:asciiTheme="minorHAnsi" w:hAnsiTheme="minorHAnsi"/>
              </w:rPr>
            </w:r>
          </w:p>
          <w:p>
            <w:pPr>
              <w:ind w:left="159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>
              <w:rPr>
                <w:rFonts w:asciiTheme="minorHAnsi" w:hAnsiTheme="minorHAnsi"/>
              </w:rPr>
              <w:t xml:space="preserve">Назначения на новую должность</w:t>
            </w:r>
            <w:r>
              <w:rPr>
                <w:rFonts w:asciiTheme="minorHAnsi" w:hAnsiTheme="minorHAnsi"/>
              </w:rPr>
            </w:r>
          </w:p>
          <w:p>
            <w:pPr>
              <w:ind w:left="159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О</w:t>
            </w:r>
            <w:r>
              <w:rPr>
                <w:rFonts w:asciiTheme="minorHAnsi" w:hAnsiTheme="minorHAnsi"/>
              </w:rPr>
              <w:t xml:space="preserve">бщегосударственные и профессиональные праздники</w:t>
            </w:r>
            <w:r>
              <w:rPr>
                <w:rFonts w:asciiTheme="minorHAnsi" w:hAnsiTheme="minorHAnsi"/>
              </w:rPr>
            </w:r>
          </w:p>
          <w:p>
            <w:pPr>
              <w:ind w:left="159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П</w:t>
            </w:r>
            <w:r>
              <w:rPr>
                <w:rFonts w:asciiTheme="minorHAnsi" w:hAnsiTheme="minorHAnsi"/>
              </w:rPr>
              <w:t xml:space="preserve">рочие значимые события</w:t>
            </w:r>
            <w:r>
              <w:rPr>
                <w:rFonts w:asciiTheme="minorHAnsi" w:hAnsiTheme="minorHAnsi"/>
              </w:rPr>
            </w:r>
          </w:p>
        </w:tc>
        <w:tc>
          <w:tcPr>
            <w:tcW w:w="4595" w:type="dxa"/>
            <w:textDirection w:val="lrTb"/>
            <w:noWrap w:val="false"/>
          </w:tcPr>
          <w:p>
            <w:pPr>
              <w:ind w:left="159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>
              <w:rPr>
                <w:rFonts w:asciiTheme="minorHAnsi" w:hAnsiTheme="minorHAnsi"/>
              </w:rPr>
              <w:t xml:space="preserve">ДР</w:t>
            </w:r>
            <w:r>
              <w:rPr>
                <w:rFonts w:asciiTheme="minorHAnsi" w:hAnsiTheme="minorHAnsi"/>
              </w:rPr>
            </w:r>
          </w:p>
          <w:p>
            <w:pPr>
              <w:ind w:left="159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>
              <w:rPr>
                <w:rFonts w:asciiTheme="minorHAnsi" w:hAnsiTheme="minorHAnsi"/>
              </w:rPr>
              <w:t xml:space="preserve">Д</w:t>
            </w:r>
            <w:r>
              <w:rPr>
                <w:rFonts w:asciiTheme="minorHAnsi" w:hAnsiTheme="minorHAnsi"/>
              </w:rPr>
              <w:t xml:space="preserve">ень</w:t>
            </w:r>
            <w:r>
              <w:rPr>
                <w:rFonts w:asciiTheme="minorHAnsi" w:hAnsiTheme="minorHAnsi"/>
              </w:rPr>
              <w:t xml:space="preserve"> нефтяника</w:t>
            </w:r>
            <w:r>
              <w:rPr>
                <w:rFonts w:asciiTheme="minorHAnsi" w:hAnsiTheme="minorHAnsi"/>
              </w:rPr>
            </w:r>
          </w:p>
          <w:p>
            <w:pPr>
              <w:ind w:left="159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>
              <w:rPr>
                <w:rFonts w:asciiTheme="minorHAnsi" w:hAnsiTheme="minorHAnsi"/>
              </w:rPr>
              <w:t xml:space="preserve">Назначения на новую должность</w:t>
            </w:r>
            <w:r>
              <w:rPr>
                <w:rFonts w:asciiTheme="minorHAnsi" w:hAnsiTheme="minorHAnsi"/>
              </w:rPr>
            </w:r>
          </w:p>
          <w:p>
            <w:pPr>
              <w:ind w:left="159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О</w:t>
            </w:r>
            <w:r>
              <w:rPr>
                <w:rFonts w:asciiTheme="minorHAnsi" w:hAnsiTheme="minorHAnsi"/>
              </w:rPr>
              <w:t xml:space="preserve">бщегосударственные и профессиональные праздники</w:t>
            </w:r>
            <w:r>
              <w:rPr>
                <w:rFonts w:asciiTheme="minorHAnsi" w:hAnsiTheme="minorHAnsi"/>
              </w:rPr>
            </w:r>
          </w:p>
          <w:p>
            <w:pPr>
              <w:ind w:left="185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П</w:t>
            </w:r>
            <w:r>
              <w:rPr>
                <w:rFonts w:asciiTheme="minorHAnsi" w:hAnsiTheme="minorHAnsi"/>
              </w:rPr>
              <w:t xml:space="preserve">рочие значимые события</w:t>
            </w:r>
            <w:r>
              <w:rPr>
                <w:rFonts w:asciiTheme="minorHAnsi" w:hAnsiTheme="minorHAnsi"/>
              </w:rPr>
            </w:r>
          </w:p>
        </w:tc>
      </w:tr>
      <w:tr>
        <w:tblPrEx/>
        <w:trPr>
          <w:trHeight w:val="2040"/>
        </w:trPr>
        <w:tc>
          <w:tcPr>
            <w:tcW w:w="168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Требования к сувенирной продукции</w:t>
            </w:r>
            <w:r>
              <w:rPr>
                <w:rFonts w:ascii="Calibri" w:hAnsi="Calibri"/>
                <w:b/>
              </w:rPr>
            </w:r>
          </w:p>
        </w:tc>
        <w:tc>
          <w:tcPr>
            <w:tcW w:w="4594" w:type="dxa"/>
            <w:textDirection w:val="lrTb"/>
            <w:noWrap w:val="false"/>
          </w:tcPr>
          <w:p>
            <w:pPr>
              <w:ind w:left="159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>
              <w:rPr>
                <w:rFonts w:asciiTheme="minorHAnsi" w:hAnsiTheme="minorHAnsi"/>
              </w:rPr>
              <w:t xml:space="preserve">Высокое </w:t>
            </w:r>
            <w:r>
              <w:rPr>
                <w:rFonts w:asciiTheme="minorHAnsi" w:hAnsiTheme="minorHAnsi"/>
              </w:rPr>
              <w:t xml:space="preserve">качество</w:t>
            </w:r>
            <w:r>
              <w:rPr>
                <w:rFonts w:asciiTheme="minorHAnsi" w:hAnsiTheme="minorHAnsi"/>
              </w:rPr>
            </w:r>
          </w:p>
          <w:p>
            <w:pPr>
              <w:ind w:left="159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>
              <w:rPr>
                <w:rFonts w:asciiTheme="minorHAnsi" w:hAnsiTheme="minorHAnsi"/>
              </w:rPr>
              <w:t xml:space="preserve">Конечный вид для </w:t>
            </w:r>
            <w:r>
              <w:rPr>
                <w:rFonts w:asciiTheme="minorHAnsi" w:hAnsiTheme="minorHAnsi"/>
              </w:rPr>
              <w:t xml:space="preserve">вручения</w:t>
            </w:r>
            <w:r>
              <w:rPr>
                <w:rFonts w:asciiTheme="minorHAnsi" w:hAnsiTheme="minorHAnsi"/>
              </w:rPr>
            </w:r>
          </w:p>
          <w:p>
            <w:pPr>
              <w:ind w:left="159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>
              <w:rPr>
                <w:rFonts w:asciiTheme="minorHAnsi" w:hAnsiTheme="minorHAnsi"/>
              </w:rPr>
              <w:t xml:space="preserve">Вызывать положительные эмоции и иметь прикладной </w:t>
            </w:r>
            <w:r>
              <w:rPr>
                <w:rFonts w:asciiTheme="minorHAnsi" w:hAnsiTheme="minorHAnsi"/>
              </w:rPr>
              <w:t xml:space="preserve">характер</w:t>
            </w:r>
            <w:r>
              <w:rPr>
                <w:rFonts w:asciiTheme="minorHAnsi" w:hAnsiTheme="minorHAnsi"/>
              </w:rPr>
            </w:r>
          </w:p>
          <w:p>
            <w:pPr>
              <w:ind w:left="159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>
              <w:rPr>
                <w:rFonts w:asciiTheme="minorHAnsi" w:hAnsiTheme="minorHAnsi"/>
              </w:rPr>
              <w:t xml:space="preserve">Ассоциироваться с деятельностью Компании</w:t>
            </w:r>
            <w:r>
              <w:rPr>
                <w:rFonts w:asciiTheme="minorHAnsi" w:hAnsiTheme="minorHAnsi"/>
              </w:rPr>
            </w:r>
          </w:p>
          <w:p>
            <w:pPr>
              <w:ind w:left="159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>
              <w:rPr>
                <w:rFonts w:asciiTheme="minorHAnsi" w:hAnsiTheme="minorHAnsi"/>
              </w:rPr>
              <w:t xml:space="preserve">Учитывать современные тенденции</w:t>
            </w:r>
            <w:r>
              <w:rPr>
                <w:rFonts w:asciiTheme="minorHAnsi" w:hAnsiTheme="minorHAnsi"/>
              </w:rPr>
            </w:r>
          </w:p>
        </w:tc>
        <w:tc>
          <w:tcPr>
            <w:tcW w:w="4594" w:type="dxa"/>
            <w:textDirection w:val="lrTb"/>
            <w:noWrap w:val="false"/>
          </w:tcPr>
          <w:p>
            <w:pPr>
              <w:ind w:left="159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>
              <w:rPr>
                <w:rFonts w:asciiTheme="minorHAnsi" w:hAnsiTheme="minorHAnsi"/>
              </w:rPr>
              <w:t xml:space="preserve">Высокое </w:t>
            </w:r>
            <w:r>
              <w:rPr>
                <w:rFonts w:asciiTheme="minorHAnsi" w:hAnsiTheme="minorHAnsi"/>
              </w:rPr>
              <w:t xml:space="preserve">качество</w:t>
            </w:r>
            <w:r>
              <w:rPr>
                <w:rFonts w:asciiTheme="minorHAnsi" w:hAnsiTheme="minorHAnsi"/>
              </w:rPr>
            </w:r>
          </w:p>
          <w:p>
            <w:pPr>
              <w:ind w:left="159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>
              <w:rPr>
                <w:rFonts w:asciiTheme="minorHAnsi" w:hAnsiTheme="minorHAnsi"/>
              </w:rPr>
              <w:t xml:space="preserve">Конечный вид для </w:t>
            </w:r>
            <w:r>
              <w:rPr>
                <w:rFonts w:asciiTheme="minorHAnsi" w:hAnsiTheme="minorHAnsi"/>
              </w:rPr>
              <w:t xml:space="preserve">вручения</w:t>
            </w:r>
            <w:r>
              <w:rPr>
                <w:rFonts w:asciiTheme="minorHAnsi" w:hAnsiTheme="minorHAnsi"/>
              </w:rPr>
            </w:r>
          </w:p>
          <w:p>
            <w:pPr>
              <w:ind w:left="159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>
              <w:rPr>
                <w:rFonts w:asciiTheme="minorHAnsi" w:hAnsiTheme="minorHAnsi"/>
              </w:rPr>
              <w:t xml:space="preserve">Вызывать положительные эмоции и иметь прикладной </w:t>
            </w:r>
            <w:r>
              <w:rPr>
                <w:rFonts w:asciiTheme="minorHAnsi" w:hAnsiTheme="minorHAnsi"/>
              </w:rPr>
              <w:t xml:space="preserve">характер</w:t>
            </w:r>
            <w:r>
              <w:rPr>
                <w:rFonts w:asciiTheme="minorHAnsi" w:hAnsiTheme="minorHAnsi"/>
              </w:rPr>
            </w:r>
          </w:p>
          <w:p>
            <w:pPr>
              <w:ind w:left="159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>
              <w:rPr>
                <w:rFonts w:asciiTheme="minorHAnsi" w:hAnsiTheme="minorHAnsi"/>
              </w:rPr>
              <w:t xml:space="preserve">Ассоциироваться с деятельностью Компании</w:t>
            </w:r>
            <w:r>
              <w:rPr>
                <w:rFonts w:asciiTheme="minorHAnsi" w:hAnsiTheme="minorHAnsi"/>
              </w:rPr>
            </w:r>
          </w:p>
          <w:p>
            <w:pPr>
              <w:ind w:left="159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>
              <w:rPr>
                <w:rFonts w:asciiTheme="minorHAnsi" w:hAnsiTheme="minorHAnsi"/>
              </w:rPr>
              <w:t xml:space="preserve">Учитывать современные тенденции</w:t>
            </w:r>
            <w:r>
              <w:rPr>
                <w:rFonts w:asciiTheme="minorHAnsi" w:hAnsiTheme="minorHAnsi"/>
              </w:rPr>
            </w:r>
          </w:p>
        </w:tc>
        <w:tc>
          <w:tcPr>
            <w:tcW w:w="4595" w:type="dxa"/>
            <w:textDirection w:val="lrTb"/>
            <w:noWrap w:val="false"/>
          </w:tcPr>
          <w:p>
            <w:pPr>
              <w:ind w:left="159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>
              <w:rPr>
                <w:rFonts w:asciiTheme="minorHAnsi" w:hAnsiTheme="minorHAnsi"/>
              </w:rPr>
              <w:t xml:space="preserve">Высокое </w:t>
            </w:r>
            <w:r>
              <w:rPr>
                <w:rFonts w:asciiTheme="minorHAnsi" w:hAnsiTheme="minorHAnsi"/>
              </w:rPr>
              <w:t xml:space="preserve">качество</w:t>
            </w:r>
            <w:r>
              <w:rPr>
                <w:rFonts w:asciiTheme="minorHAnsi" w:hAnsiTheme="minorHAnsi"/>
              </w:rPr>
            </w:r>
          </w:p>
          <w:p>
            <w:pPr>
              <w:ind w:left="159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>
              <w:rPr>
                <w:rFonts w:asciiTheme="minorHAnsi" w:hAnsiTheme="minorHAnsi"/>
              </w:rPr>
              <w:t xml:space="preserve">Конечный вид для </w:t>
            </w:r>
            <w:r>
              <w:rPr>
                <w:rFonts w:asciiTheme="minorHAnsi" w:hAnsiTheme="minorHAnsi"/>
              </w:rPr>
              <w:t xml:space="preserve">вручения</w:t>
            </w:r>
            <w:r>
              <w:rPr>
                <w:rFonts w:asciiTheme="minorHAnsi" w:hAnsiTheme="minorHAnsi"/>
              </w:rPr>
            </w:r>
          </w:p>
          <w:p>
            <w:pPr>
              <w:ind w:left="159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>
              <w:rPr>
                <w:rFonts w:asciiTheme="minorHAnsi" w:hAnsiTheme="minorHAnsi"/>
              </w:rPr>
              <w:t xml:space="preserve">Вызывать положительные эмоции и иметь прикладной </w:t>
            </w:r>
            <w:r>
              <w:rPr>
                <w:rFonts w:asciiTheme="minorHAnsi" w:hAnsiTheme="minorHAnsi"/>
              </w:rPr>
              <w:t xml:space="preserve">характер</w:t>
            </w:r>
            <w:r>
              <w:rPr>
                <w:rFonts w:asciiTheme="minorHAnsi" w:hAnsiTheme="minorHAnsi"/>
              </w:rPr>
            </w:r>
          </w:p>
          <w:p>
            <w:pPr>
              <w:ind w:left="159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>
              <w:rPr>
                <w:rFonts w:asciiTheme="minorHAnsi" w:hAnsiTheme="minorHAnsi"/>
              </w:rPr>
              <w:t xml:space="preserve">Ассоциироваться с деятельностью Компании</w:t>
            </w:r>
            <w:r>
              <w:rPr>
                <w:rFonts w:asciiTheme="minorHAnsi" w:hAnsiTheme="minorHAnsi"/>
              </w:rPr>
            </w:r>
          </w:p>
          <w:p>
            <w:pPr>
              <w:ind w:left="159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>
              <w:rPr>
                <w:rFonts w:asciiTheme="minorHAnsi" w:hAnsiTheme="minorHAnsi"/>
              </w:rPr>
              <w:t xml:space="preserve">Учитывать соврем</w:t>
            </w:r>
            <w:bookmarkStart w:id="0" w:name="_GoBack"/>
            <w:r/>
            <w:bookmarkEnd w:id="0"/>
            <w:r>
              <w:rPr>
                <w:rFonts w:asciiTheme="minorHAnsi" w:hAnsiTheme="minorHAnsi"/>
              </w:rPr>
              <w:t xml:space="preserve">енные тенденции</w:t>
            </w:r>
            <w:r>
              <w:rPr>
                <w:rFonts w:asciiTheme="minorHAnsi" w:hAnsiTheme="minorHAnsi"/>
              </w:rPr>
            </w:r>
          </w:p>
        </w:tc>
      </w:tr>
      <w:tr>
        <w:tblPrEx/>
        <w:trPr>
          <w:trHeight w:val="269"/>
        </w:trPr>
        <w:tc>
          <w:tcPr>
            <w:tcW w:w="1684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Тиражи</w:t>
            </w:r>
            <w:r>
              <w:rPr>
                <w:rFonts w:ascii="Calibri" w:hAnsi="Calibri"/>
                <w:b/>
              </w:rPr>
            </w:r>
          </w:p>
        </w:tc>
        <w:tc>
          <w:tcPr>
            <w:tcW w:w="4594" w:type="dxa"/>
            <w:textDirection w:val="lrTb"/>
            <w:noWrap w:val="false"/>
          </w:tcPr>
          <w:p>
            <w:pPr>
              <w:ind w:left="159"/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100 - 200 экземпляров каждого сувенира</w:t>
            </w:r>
            <w:r>
              <w:rPr>
                <w:rFonts w:asciiTheme="minorHAnsi" w:hAnsiTheme="minorHAnsi"/>
              </w:rPr>
            </w:r>
          </w:p>
        </w:tc>
        <w:tc>
          <w:tcPr>
            <w:tcW w:w="4594" w:type="dxa"/>
            <w:textDirection w:val="lrTb"/>
            <w:noWrap w:val="false"/>
          </w:tcPr>
          <w:p>
            <w:pPr>
              <w:ind w:left="101"/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10 - 50 экземпляров каждого сувенира</w:t>
            </w:r>
            <w:r>
              <w:rPr>
                <w:rFonts w:asciiTheme="minorHAnsi" w:hAnsiTheme="minorHAnsi"/>
              </w:rPr>
            </w:r>
          </w:p>
        </w:tc>
        <w:tc>
          <w:tcPr>
            <w:tcW w:w="4595" w:type="dxa"/>
            <w:textDirection w:val="lrTb"/>
            <w:noWrap w:val="false"/>
          </w:tcPr>
          <w:p>
            <w:pPr>
              <w:ind w:left="185"/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10 - 50 экземпляров каждого сувенира</w:t>
            </w:r>
            <w:r>
              <w:rPr>
                <w:rFonts w:asciiTheme="minorHAnsi" w:hAnsiTheme="minorHAnsi"/>
              </w:rPr>
            </w:r>
          </w:p>
        </w:tc>
      </w:tr>
      <w:tr>
        <w:tblPrEx/>
        <w:trPr>
          <w:trHeight w:val="431"/>
        </w:trPr>
        <w:tc>
          <w:tcPr>
            <w:tcW w:w="1684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Сроки</w:t>
            </w:r>
            <w:r>
              <w:rPr>
                <w:rFonts w:ascii="Calibri" w:hAnsi="Calibri"/>
                <w:b/>
              </w:rPr>
            </w:r>
          </w:p>
        </w:tc>
        <w:tc>
          <w:tcPr>
            <w:tcW w:w="4594" w:type="dxa"/>
            <w:textDirection w:val="lrTb"/>
            <w:noWrap w:val="false"/>
          </w:tcPr>
          <w:p>
            <w:pPr>
              <w:ind w:left="159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Разработка предложения - 1</w:t>
            </w:r>
            <w:r>
              <w:rPr>
                <w:rFonts w:asciiTheme="minorHAnsi" w:hAnsiTheme="minorHAnsi"/>
              </w:rPr>
              <w:t xml:space="preserve">5</w:t>
            </w:r>
            <w:r>
              <w:rPr>
                <w:rFonts w:asciiTheme="minorHAnsi" w:hAnsiTheme="minorHAnsi"/>
              </w:rPr>
              <w:t xml:space="preserve"> ноября</w:t>
            </w:r>
            <w:r>
              <w:rPr>
                <w:rFonts w:asciiTheme="minorHAnsi" w:hAnsiTheme="minorHAnsi"/>
              </w:rPr>
            </w:r>
          </w:p>
          <w:p>
            <w:pPr>
              <w:ind w:left="159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Производство – декабрь 2024</w:t>
            </w:r>
            <w:r>
              <w:rPr>
                <w:rFonts w:asciiTheme="minorHAnsi" w:hAnsiTheme="minorHAnsi"/>
              </w:rPr>
            </w:r>
          </w:p>
        </w:tc>
        <w:tc>
          <w:tcPr>
            <w:tcW w:w="4594" w:type="dxa"/>
            <w:textDirection w:val="lrTb"/>
            <w:noWrap w:val="false"/>
          </w:tcPr>
          <w:p>
            <w:pPr>
              <w:ind w:left="159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Разработка предложения - 1</w:t>
            </w:r>
            <w:r>
              <w:rPr>
                <w:rFonts w:asciiTheme="minorHAnsi" w:hAnsiTheme="minorHAnsi"/>
              </w:rPr>
              <w:t xml:space="preserve">5</w:t>
            </w:r>
            <w:r>
              <w:rPr>
                <w:rFonts w:asciiTheme="minorHAnsi" w:hAnsiTheme="minorHAnsi"/>
              </w:rPr>
              <w:t xml:space="preserve"> ноября</w:t>
            </w:r>
            <w:r>
              <w:rPr>
                <w:rFonts w:asciiTheme="minorHAnsi" w:hAnsiTheme="minorHAnsi"/>
              </w:rPr>
            </w:r>
          </w:p>
          <w:p>
            <w:pPr>
              <w:ind w:left="101"/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Производство – декабрь 2024</w:t>
            </w:r>
            <w:r>
              <w:rPr>
                <w:rFonts w:asciiTheme="minorHAnsi" w:hAnsiTheme="minorHAnsi"/>
              </w:rPr>
            </w:r>
          </w:p>
        </w:tc>
        <w:tc>
          <w:tcPr>
            <w:tcW w:w="4595" w:type="dxa"/>
            <w:textDirection w:val="lrTb"/>
            <w:noWrap w:val="false"/>
          </w:tcPr>
          <w:p>
            <w:pPr>
              <w:ind w:left="159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Разработка предложения - 1</w:t>
            </w:r>
            <w:r>
              <w:rPr>
                <w:rFonts w:asciiTheme="minorHAnsi" w:hAnsiTheme="minorHAnsi"/>
              </w:rPr>
              <w:t xml:space="preserve">5</w:t>
            </w:r>
            <w:r>
              <w:rPr>
                <w:rFonts w:asciiTheme="minorHAnsi" w:hAnsiTheme="minorHAnsi"/>
              </w:rPr>
              <w:t xml:space="preserve"> ноября</w:t>
            </w:r>
            <w:r>
              <w:rPr>
                <w:rFonts w:asciiTheme="minorHAnsi" w:hAnsiTheme="minorHAnsi"/>
              </w:rPr>
            </w:r>
          </w:p>
          <w:p>
            <w:pPr>
              <w:ind w:left="185"/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Производство – декабрь 2024</w:t>
            </w:r>
            <w:r>
              <w:rPr>
                <w:rFonts w:asciiTheme="minorHAnsi" w:hAnsiTheme="minorHAnsi"/>
              </w:rPr>
            </w:r>
          </w:p>
        </w:tc>
      </w:tr>
      <w:tr>
        <w:tblPrEx/>
        <w:trPr>
          <w:trHeight w:val="431"/>
        </w:trPr>
        <w:tc>
          <w:tcPr>
            <w:tcW w:w="1684" w:type="dxa"/>
            <w:textDirection w:val="lrTb"/>
            <w:noWrap w:val="false"/>
          </w:tcPr>
          <w:p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Формат предоставления результата</w:t>
            </w:r>
            <w:r>
              <w:rPr>
                <w:rFonts w:ascii="Calibri" w:hAnsi="Calibri"/>
                <w:b/>
              </w:rPr>
            </w:r>
          </w:p>
        </w:tc>
        <w:tc>
          <w:tcPr>
            <w:tcW w:w="4594" w:type="dxa"/>
            <w:textDirection w:val="lrTb"/>
            <w:noWrap w:val="false"/>
          </w:tcPr>
          <w:p>
            <w:pPr>
              <w:ind w:left="159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>
              <w:rPr>
                <w:rFonts w:asciiTheme="minorHAnsi" w:hAnsiTheme="minorHAnsi"/>
              </w:rPr>
              <w:t xml:space="preserve">Каталог с фото и описанием</w:t>
            </w:r>
            <w:r>
              <w:rPr>
                <w:rFonts w:asciiTheme="minorHAnsi" w:hAnsiTheme="minorHAnsi"/>
              </w:rPr>
            </w:r>
          </w:p>
        </w:tc>
        <w:tc>
          <w:tcPr>
            <w:tcW w:w="4594" w:type="dxa"/>
            <w:textDirection w:val="lrTb"/>
            <w:noWrap w:val="false"/>
          </w:tcPr>
          <w:p>
            <w:pPr>
              <w:ind w:left="159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>
              <w:rPr>
                <w:rFonts w:asciiTheme="minorHAnsi" w:hAnsiTheme="minorHAnsi"/>
              </w:rPr>
              <w:t xml:space="preserve">Каталог с фото и описанием</w:t>
            </w:r>
            <w:r>
              <w:rPr>
                <w:rFonts w:asciiTheme="minorHAnsi" w:hAnsiTheme="minorHAnsi"/>
              </w:rPr>
            </w:r>
          </w:p>
        </w:tc>
        <w:tc>
          <w:tcPr>
            <w:tcW w:w="4595" w:type="dxa"/>
            <w:textDirection w:val="lrTb"/>
            <w:noWrap w:val="false"/>
          </w:tcPr>
          <w:p>
            <w:pPr>
              <w:ind w:left="159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>
              <w:rPr>
                <w:rFonts w:asciiTheme="minorHAnsi" w:hAnsiTheme="minorHAnsi"/>
              </w:rPr>
              <w:t xml:space="preserve">Каталог с фото и описанием</w:t>
            </w:r>
            <w:r>
              <w:rPr>
                <w:rFonts w:asciiTheme="minorHAnsi" w:hAnsiTheme="minorHAnsi"/>
              </w:rPr>
            </w:r>
          </w:p>
        </w:tc>
      </w:tr>
    </w:tbl>
    <w:p>
      <w:p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 xml:space="preserve">Цель: Продвижение корпоративного бренда "Газпром нефть" через креативную коммуникацию</w:t>
      </w:r>
      <w:r>
        <w:rPr>
          <w:rFonts w:asciiTheme="minorHAnsi" w:hAnsiTheme="minorHAnsi"/>
          <w:b/>
          <w:sz w:val="24"/>
        </w:rPr>
      </w:r>
    </w:p>
    <w:sectPr>
      <w:footnotePr/>
      <w:endnotePr/>
      <w:type w:val="continuous"/>
      <w:pgSz w:w="16840" w:h="11910" w:orient="landscape"/>
      <w:pgMar w:top="720" w:right="720" w:bottom="720" w:left="72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Microsoft Sans Serif">
    <w:panose1 w:val="020B060402020202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0" w:hanging="120"/>
      </w:pPr>
      <w:rPr>
        <w:rFonts w:hint="default" w:ascii="Microsoft Sans Serif" w:hAnsi="Microsoft Sans Serif" w:eastAsia="Microsoft Sans Serif" w:cs="Microsoft Sans Serif"/>
        <w:sz w:val="18"/>
        <w:szCs w:val="1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438" w:hanging="12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836" w:hanging="12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234" w:hanging="12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1632" w:hanging="12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030" w:hanging="12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2428" w:hanging="12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2826" w:hanging="12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3224" w:hanging="12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" w:hanging="212"/>
      </w:pPr>
      <w:rPr>
        <w:rFonts w:hint="default" w:ascii="Microsoft Sans Serif" w:hAnsi="Microsoft Sans Serif" w:eastAsia="Microsoft Sans Serif" w:cs="Microsoft Sans Serif"/>
        <w:spacing w:val="-2"/>
        <w:sz w:val="18"/>
        <w:szCs w:val="1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438" w:hanging="212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836" w:hanging="21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234" w:hanging="21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1632" w:hanging="21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030" w:hanging="21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2428" w:hanging="21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2826" w:hanging="21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3224" w:hanging="212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1" w:hanging="120"/>
      </w:pPr>
      <w:rPr>
        <w:rFonts w:hint="default" w:ascii="Microsoft Sans Serif" w:hAnsi="Microsoft Sans Serif" w:eastAsia="Microsoft Sans Serif" w:cs="Microsoft Sans Serif"/>
        <w:sz w:val="18"/>
        <w:szCs w:val="1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438" w:hanging="12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836" w:hanging="12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234" w:hanging="12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1632" w:hanging="12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030" w:hanging="12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2428" w:hanging="12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2826" w:hanging="12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3224" w:hanging="12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1" w:hanging="120"/>
      </w:pPr>
      <w:rPr>
        <w:rFonts w:hint="default" w:ascii="Microsoft Sans Serif" w:hAnsi="Microsoft Sans Serif" w:eastAsia="Microsoft Sans Serif" w:cs="Microsoft Sans Serif"/>
        <w:sz w:val="18"/>
        <w:szCs w:val="1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438" w:hanging="12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836" w:hanging="12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234" w:hanging="12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1632" w:hanging="12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030" w:hanging="12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2428" w:hanging="12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2826" w:hanging="12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3224" w:hanging="12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42" w:hanging="212"/>
      </w:pPr>
      <w:rPr>
        <w:rFonts w:hint="default" w:ascii="Microsoft Sans Serif" w:hAnsi="Microsoft Sans Serif" w:eastAsia="Microsoft Sans Serif" w:cs="Microsoft Sans Serif"/>
        <w:spacing w:val="-2"/>
        <w:sz w:val="18"/>
        <w:szCs w:val="1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618" w:hanging="212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996" w:hanging="21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374" w:hanging="21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1752" w:hanging="21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130" w:hanging="21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2508" w:hanging="21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2886" w:hanging="21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3264" w:hanging="212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05" w:hanging="120"/>
      </w:pPr>
      <w:rPr>
        <w:rFonts w:hint="default" w:ascii="Microsoft Sans Serif" w:hAnsi="Microsoft Sans Serif" w:eastAsia="Microsoft Sans Serif" w:cs="Microsoft Sans Serif"/>
        <w:sz w:val="18"/>
        <w:szCs w:val="1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582" w:hanging="12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964" w:hanging="12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346" w:hanging="12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1728" w:hanging="12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110" w:hanging="12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2492" w:hanging="12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2874" w:hanging="12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3256" w:hanging="12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42" w:hanging="212"/>
      </w:pPr>
      <w:rPr>
        <w:rFonts w:hint="default" w:ascii="Microsoft Sans Serif" w:hAnsi="Microsoft Sans Serif" w:eastAsia="Microsoft Sans Serif" w:cs="Microsoft Sans Serif"/>
        <w:spacing w:val="-2"/>
        <w:sz w:val="18"/>
        <w:szCs w:val="1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618" w:hanging="212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996" w:hanging="21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374" w:hanging="21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1752" w:hanging="21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130" w:hanging="21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2508" w:hanging="21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2886" w:hanging="21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3264" w:hanging="212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1" w:hanging="212"/>
      </w:pPr>
      <w:rPr>
        <w:rFonts w:hint="default" w:ascii="Microsoft Sans Serif" w:hAnsi="Microsoft Sans Serif" w:eastAsia="Microsoft Sans Serif" w:cs="Microsoft Sans Serif"/>
        <w:spacing w:val="-2"/>
        <w:sz w:val="18"/>
        <w:szCs w:val="1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438" w:hanging="212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836" w:hanging="21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234" w:hanging="21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1632" w:hanging="21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030" w:hanging="21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2428" w:hanging="21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2826" w:hanging="21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3224" w:hanging="212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42" w:hanging="212"/>
      </w:pPr>
      <w:rPr>
        <w:rFonts w:hint="default" w:ascii="Microsoft Sans Serif" w:hAnsi="Microsoft Sans Serif" w:eastAsia="Microsoft Sans Serif" w:cs="Microsoft Sans Serif"/>
        <w:spacing w:val="-2"/>
        <w:sz w:val="18"/>
        <w:szCs w:val="1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618" w:hanging="212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996" w:hanging="21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374" w:hanging="21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1752" w:hanging="21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130" w:hanging="21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2508" w:hanging="21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2886" w:hanging="21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3264" w:hanging="212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1" w:hanging="120"/>
      </w:pPr>
      <w:rPr>
        <w:rFonts w:hint="default" w:ascii="Microsoft Sans Serif" w:hAnsi="Microsoft Sans Serif" w:eastAsia="Microsoft Sans Serif" w:cs="Microsoft Sans Serif"/>
        <w:sz w:val="18"/>
        <w:szCs w:val="1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438" w:hanging="12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836" w:hanging="12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234" w:hanging="12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1632" w:hanging="12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030" w:hanging="12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2428" w:hanging="12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2826" w:hanging="12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3224" w:hanging="120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1" w:hanging="120"/>
      </w:pPr>
      <w:rPr>
        <w:rFonts w:hint="default" w:ascii="Microsoft Sans Serif" w:hAnsi="Microsoft Sans Serif" w:eastAsia="Microsoft Sans Serif" w:cs="Microsoft Sans Serif"/>
        <w:sz w:val="18"/>
        <w:szCs w:val="1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438" w:hanging="12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836" w:hanging="12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234" w:hanging="12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1632" w:hanging="12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030" w:hanging="12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2428" w:hanging="12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2826" w:hanging="12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3224" w:hanging="120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1" w:hanging="120"/>
      </w:pPr>
      <w:rPr>
        <w:rFonts w:hint="default" w:ascii="Microsoft Sans Serif" w:hAnsi="Microsoft Sans Serif" w:eastAsia="Microsoft Sans Serif" w:cs="Microsoft Sans Serif"/>
        <w:sz w:val="18"/>
        <w:szCs w:val="1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438" w:hanging="12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836" w:hanging="12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234" w:hanging="12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1632" w:hanging="12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030" w:hanging="12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2428" w:hanging="12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2826" w:hanging="12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3224" w:hanging="120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1" w:hanging="120"/>
      </w:pPr>
      <w:rPr>
        <w:rFonts w:hint="default" w:ascii="Microsoft Sans Serif" w:hAnsi="Microsoft Sans Serif" w:eastAsia="Microsoft Sans Serif" w:cs="Microsoft Sans Serif"/>
        <w:sz w:val="18"/>
        <w:szCs w:val="1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438" w:hanging="12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836" w:hanging="12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234" w:hanging="12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1632" w:hanging="12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030" w:hanging="12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2428" w:hanging="12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2826" w:hanging="12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3224" w:hanging="120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42" w:hanging="212"/>
      </w:pPr>
      <w:rPr>
        <w:rFonts w:hint="default" w:ascii="Microsoft Sans Serif" w:hAnsi="Microsoft Sans Serif" w:eastAsia="Microsoft Sans Serif" w:cs="Microsoft Sans Serif"/>
        <w:spacing w:val="-2"/>
        <w:sz w:val="18"/>
        <w:szCs w:val="1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618" w:hanging="212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996" w:hanging="21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374" w:hanging="21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1752" w:hanging="21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130" w:hanging="21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2508" w:hanging="21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2886" w:hanging="21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3264" w:hanging="212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0" w:hanging="120"/>
      </w:pPr>
      <w:rPr>
        <w:rFonts w:hint="default" w:ascii="Microsoft Sans Serif" w:hAnsi="Microsoft Sans Serif" w:eastAsia="Microsoft Sans Serif" w:cs="Microsoft Sans Serif"/>
        <w:sz w:val="18"/>
        <w:szCs w:val="1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438" w:hanging="12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836" w:hanging="12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234" w:hanging="12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1632" w:hanging="12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030" w:hanging="12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2428" w:hanging="12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2826" w:hanging="12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3224" w:hanging="1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6"/>
  </w:num>
  <w:num w:numId="6">
    <w:abstractNumId w:val="4"/>
  </w:num>
  <w:num w:numId="7">
    <w:abstractNumId w:val="14"/>
  </w:num>
  <w:num w:numId="8">
    <w:abstractNumId w:val="12"/>
  </w:num>
  <w:num w:numId="9">
    <w:abstractNumId w:val="10"/>
  </w:num>
  <w:num w:numId="10">
    <w:abstractNumId w:val="0"/>
  </w:num>
  <w:num w:numId="11">
    <w:abstractNumId w:val="11"/>
  </w:num>
  <w:num w:numId="12">
    <w:abstractNumId w:val="9"/>
  </w:num>
  <w:num w:numId="13">
    <w:abstractNumId w:val="5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7"/>
    <w:next w:val="64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4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7"/>
    <w:next w:val="64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4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7"/>
    <w:next w:val="64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4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7"/>
    <w:next w:val="64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4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7"/>
    <w:next w:val="64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4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7"/>
    <w:next w:val="64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4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7"/>
    <w:next w:val="64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4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7"/>
    <w:next w:val="64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4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7"/>
    <w:next w:val="64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4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7"/>
    <w:next w:val="64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48"/>
    <w:link w:val="34"/>
    <w:uiPriority w:val="10"/>
    <w:rPr>
      <w:sz w:val="48"/>
      <w:szCs w:val="48"/>
    </w:rPr>
  </w:style>
  <w:style w:type="paragraph" w:styleId="36">
    <w:name w:val="Subtitle"/>
    <w:basedOn w:val="647"/>
    <w:next w:val="64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48"/>
    <w:link w:val="36"/>
    <w:uiPriority w:val="11"/>
    <w:rPr>
      <w:sz w:val="24"/>
      <w:szCs w:val="24"/>
    </w:rPr>
  </w:style>
  <w:style w:type="paragraph" w:styleId="38">
    <w:name w:val="Quote"/>
    <w:basedOn w:val="647"/>
    <w:next w:val="64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7"/>
    <w:next w:val="64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48"/>
    <w:link w:val="42"/>
    <w:uiPriority w:val="99"/>
  </w:style>
  <w:style w:type="paragraph" w:styleId="44">
    <w:name w:val="Footer"/>
    <w:basedOn w:val="64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48"/>
    <w:link w:val="44"/>
    <w:uiPriority w:val="99"/>
  </w:style>
  <w:style w:type="paragraph" w:styleId="46">
    <w:name w:val="Caption"/>
    <w:basedOn w:val="647"/>
    <w:next w:val="64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4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4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4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48"/>
    <w:uiPriority w:val="99"/>
    <w:unhideWhenUsed/>
    <w:rPr>
      <w:vertAlign w:val="superscript"/>
    </w:rPr>
  </w:style>
  <w:style w:type="paragraph" w:styleId="178">
    <w:name w:val="endnote text"/>
    <w:basedOn w:val="64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48"/>
    <w:uiPriority w:val="99"/>
    <w:semiHidden/>
    <w:unhideWhenUsed/>
    <w:rPr>
      <w:vertAlign w:val="superscript"/>
    </w:rPr>
  </w:style>
  <w:style w:type="paragraph" w:styleId="181">
    <w:name w:val="toc 1"/>
    <w:basedOn w:val="647"/>
    <w:next w:val="64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7"/>
    <w:next w:val="64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7"/>
    <w:next w:val="64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7"/>
    <w:next w:val="64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7"/>
    <w:next w:val="64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7"/>
    <w:next w:val="64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7"/>
    <w:next w:val="64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7"/>
    <w:next w:val="64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7"/>
    <w:next w:val="64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7"/>
    <w:next w:val="647"/>
    <w:uiPriority w:val="99"/>
    <w:unhideWhenUsed/>
    <w:pPr>
      <w:spacing w:after="0" w:afterAutospacing="0"/>
    </w:pPr>
  </w:style>
  <w:style w:type="paragraph" w:styleId="647" w:default="1">
    <w:name w:val="Normal"/>
    <w:uiPriority w:val="1"/>
    <w:qFormat/>
    <w:rPr>
      <w:rFonts w:ascii="Microsoft Sans Serif" w:hAnsi="Microsoft Sans Serif" w:eastAsia="Microsoft Sans Serif" w:cs="Microsoft Sans Serif"/>
      <w:lang w:val="ru-RU"/>
    </w:rPr>
  </w:style>
  <w:style w:type="character" w:styleId="648" w:default="1">
    <w:name w:val="Default Paragraph Font"/>
    <w:uiPriority w:val="1"/>
    <w:semiHidden/>
    <w:unhideWhenUsed/>
  </w:style>
  <w:style w:type="table" w:styleId="6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0" w:default="1">
    <w:name w:val="No List"/>
    <w:uiPriority w:val="99"/>
    <w:semiHidden/>
    <w:unhideWhenUsed/>
  </w:style>
  <w:style w:type="table" w:styleId="651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52">
    <w:name w:val="List Paragraph"/>
    <w:basedOn w:val="647"/>
    <w:uiPriority w:val="1"/>
    <w:qFormat/>
  </w:style>
  <w:style w:type="paragraph" w:styleId="653" w:customStyle="1">
    <w:name w:val="Table Paragraph"/>
    <w:basedOn w:val="647"/>
    <w:uiPriority w:val="1"/>
    <w:qFormat/>
    <w:pPr>
      <w:ind w:left="3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Бриф2</dc:title>
  <dc:creator>Администратор</dc:creator>
  <cp:lastModifiedBy>Семенова Ксения</cp:lastModifiedBy>
  <cp:revision>8</cp:revision>
  <dcterms:created xsi:type="dcterms:W3CDTF">2024-10-17T11:01:00Z</dcterms:created>
  <dcterms:modified xsi:type="dcterms:W3CDTF">2025-04-21T09:14:47Z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Creator">
    <vt:lpwstr>Excel</vt:lpwstr>
  </property>
  <property fmtid="{D5CDD505-2E9C-101B-9397-08002B2CF9AE}" pid="4" name="LastSaved">
    <vt:filetime>2024-10-17T00:00:00Z</vt:filetime>
  </property>
</Properties>
</file>