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46B" w:rsidRDefault="002415A8">
      <w:pPr>
        <w:pStyle w:val="a7"/>
        <w:rPr>
          <w:rFonts w:ascii="HeliosCondC" w:hAnsi="HeliosCondC"/>
        </w:rPr>
      </w:pPr>
      <w:r>
        <w:rPr>
          <w:rFonts w:ascii="HeliosCondC" w:hAnsi="HeliosCondC"/>
        </w:rPr>
        <w:t>МикроТЗ_Формирование_гипотез</w:t>
      </w:r>
    </w:p>
    <w:p w:rsidR="007B646B" w:rsidRDefault="002415A8">
      <w:pPr>
        <w:pStyle w:val="1"/>
      </w:pPr>
      <w:bookmarkStart w:id="0" w:name="Xdbf6183c5d15016d722edadc11f633021d18493"/>
      <w:r>
        <w:t>ФОРМИРОВАНИЕ И ОБОСНОВАНИЕ ГЕОЛОГИЧЕСКИХ ГИПОТЕЗ</w:t>
      </w:r>
    </w:p>
    <w:p w:rsidR="007B646B" w:rsidRDefault="002415A8">
      <w:pPr>
        <w:pStyle w:val="2"/>
      </w:pPr>
      <w:bookmarkStart w:id="1" w:name="для-геолога-регионалиста"/>
      <w:r>
        <w:t>Для геолога-регионалиста</w:t>
      </w:r>
    </w:p>
    <w:p w:rsidR="007B646B" w:rsidRDefault="002415A8">
      <w:pPr>
        <w:pStyle w:val="FirstParagraph"/>
        <w:rPr>
          <w:rFonts w:ascii="HeliosCondC" w:hAnsi="HeliosCondC"/>
          <w:lang w:val="ru-RU"/>
        </w:rPr>
      </w:pPr>
      <w:r>
        <w:rPr>
          <w:rFonts w:ascii="HeliosCondC" w:hAnsi="HeliosCondC"/>
          <w:b/>
          <w:bCs/>
          <w:lang w:val="ru-RU"/>
        </w:rPr>
        <w:t>Платформа:</w:t>
      </w:r>
      <w:r>
        <w:rPr>
          <w:rFonts w:ascii="HeliosCondC" w:hAnsi="HeliosCondC"/>
          <w:lang w:val="ru-RU"/>
        </w:rPr>
        <w:t xml:space="preserve"> Профессионалы 4.0</w:t>
      </w:r>
      <w:r>
        <w:rPr>
          <w:rFonts w:ascii="HeliosCondC" w:hAnsi="HeliosCondC"/>
          <w:lang w:val="ru-RU"/>
        </w:rPr>
        <w:br/>
      </w:r>
      <w:r>
        <w:rPr>
          <w:rFonts w:ascii="HeliosCondC" w:hAnsi="HeliosCondC"/>
          <w:b/>
          <w:bCs/>
          <w:lang w:val="ru-RU"/>
        </w:rPr>
        <w:t>Срок:</w:t>
      </w:r>
      <w:r>
        <w:rPr>
          <w:rFonts w:ascii="HeliosCondC" w:hAnsi="HeliosCondC"/>
          <w:lang w:val="ru-RU"/>
        </w:rPr>
        <w:t xml:space="preserve"> 4–5 недель (старт неделя 1, финал неделя 5)</w:t>
      </w:r>
      <w:r>
        <w:rPr>
          <w:rFonts w:ascii="HeliosCondC" w:hAnsi="HeliosCondC"/>
          <w:lang w:val="ru-RU"/>
        </w:rPr>
        <w:br/>
      </w:r>
      <w:r>
        <w:rPr>
          <w:rFonts w:ascii="HeliosCondC" w:hAnsi="HeliosCondC"/>
          <w:b/>
          <w:bCs/>
          <w:lang w:val="ru-RU"/>
        </w:rPr>
        <w:t>Специалист:</w:t>
      </w:r>
      <w:r>
        <w:rPr>
          <w:rFonts w:ascii="HeliosCondC" w:hAnsi="HeliosCondC"/>
          <w:lang w:val="ru-RU"/>
        </w:rPr>
        <w:t xml:space="preserve"> Эксперт, региональный геолог</w:t>
      </w:r>
    </w:p>
    <w:p w:rsidR="007B646B" w:rsidRDefault="002415A8">
      <w:pPr>
        <w:rPr>
          <w:rFonts w:ascii="HeliosCondC" w:hAnsi="HeliosCondC"/>
        </w:rPr>
      </w:pPr>
      <w:r>
        <w:rPr>
          <w:rFonts w:ascii="HeliosCondC" w:hAnsi="HeliosCondC"/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5940425" cy="635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4042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0" o:spid="_x0000_s0" o:spt="1" type="#_x0000_t1" style="width:467.75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p w:rsidR="007B646B" w:rsidRDefault="002415A8">
      <w:pPr>
        <w:pStyle w:val="2"/>
      </w:pPr>
      <w:bookmarkStart w:id="2" w:name="цель-и-задача"/>
      <w:bookmarkEnd w:id="1"/>
      <w:r>
        <w:t>1. ЦЕЛЬ И ЗАДАЧА</w:t>
      </w:r>
    </w:p>
    <w:p w:rsidR="007B646B" w:rsidRDefault="002415A8">
      <w:pPr>
        <w:pStyle w:val="3"/>
      </w:pPr>
      <w:bookmarkStart w:id="3" w:name="цель"/>
      <w:r>
        <w:t>1.1 Цель</w:t>
      </w:r>
    </w:p>
    <w:p w:rsidR="007B646B" w:rsidRDefault="002415A8">
      <w:pPr>
        <w:pStyle w:val="FirstParagraph"/>
        <w:rPr>
          <w:rFonts w:ascii="HeliosCondC" w:hAnsi="HeliosCondC"/>
          <w:lang w:val="ru-RU"/>
        </w:rPr>
      </w:pPr>
      <w:r>
        <w:rPr>
          <w:rFonts w:ascii="HeliosCondC" w:hAnsi="HeliosCondC"/>
          <w:b/>
          <w:bCs/>
          <w:lang w:val="ru-RU"/>
        </w:rPr>
        <w:t>Сформировать структурированный каталог геологических гипотез</w:t>
      </w:r>
      <w:r>
        <w:rPr>
          <w:rFonts w:ascii="HeliosCondC" w:hAnsi="HeliosCondC"/>
          <w:lang w:val="ru-RU"/>
        </w:rPr>
        <w:t xml:space="preserve"> для Восточной Сибири, который:</w:t>
      </w:r>
    </w:p>
    <w:p w:rsidR="007B646B" w:rsidRDefault="002415A8">
      <w:pPr>
        <w:pStyle w:val="Compact"/>
        <w:numPr>
          <w:ilvl w:val="0"/>
          <w:numId w:val="29"/>
        </w:numPr>
      </w:pPr>
      <w:r>
        <w:t>Описывает 10–15 базовых и альтернативных геологических моделей нефтегазоносности</w:t>
      </w:r>
    </w:p>
    <w:p w:rsidR="007B646B" w:rsidRDefault="002415A8">
      <w:pPr>
        <w:pStyle w:val="Compact"/>
        <w:numPr>
          <w:ilvl w:val="0"/>
          <w:numId w:val="29"/>
        </w:numPr>
      </w:pPr>
      <w:r>
        <w:t>Обосновывает каждую гипотезу научными данными и аналогами</w:t>
      </w:r>
    </w:p>
    <w:p w:rsidR="007B646B" w:rsidRDefault="002415A8">
      <w:pPr>
        <w:pStyle w:val="Compact"/>
        <w:numPr>
          <w:ilvl w:val="0"/>
          <w:numId w:val="29"/>
        </w:numPr>
      </w:pPr>
      <w:r>
        <w:t>Явно указывает риск-факто</w:t>
      </w:r>
      <w:r>
        <w:t>ры и неопределенности</w:t>
      </w:r>
    </w:p>
    <w:p w:rsidR="007B646B" w:rsidRDefault="002415A8">
      <w:pPr>
        <w:pStyle w:val="Compact"/>
        <w:numPr>
          <w:ilvl w:val="0"/>
          <w:numId w:val="29"/>
        </w:numPr>
      </w:pPr>
      <w:r>
        <w:t>Подготовить набор паспортов и цифровых материалов для использования другими специалистами (инженер-ресурсник, GIS-аналитик, СРР-интерпретатор)</w:t>
      </w:r>
    </w:p>
    <w:p w:rsidR="007B646B" w:rsidRDefault="002415A8">
      <w:pPr>
        <w:pStyle w:val="3"/>
      </w:pPr>
      <w:bookmarkStart w:id="4" w:name="основные-задачи"/>
      <w:bookmarkEnd w:id="3"/>
      <w:r>
        <w:t>1.2 Основные задачи</w:t>
      </w:r>
    </w:p>
    <w:p w:rsidR="007B646B" w:rsidRDefault="002415A8">
      <w:pPr>
        <w:pStyle w:val="Compact"/>
        <w:numPr>
          <w:ilvl w:val="0"/>
          <w:numId w:val="30"/>
        </w:numPr>
      </w:pPr>
      <w:r>
        <w:rPr>
          <w:b/>
          <w:bCs/>
        </w:rPr>
        <w:t>Инвентаризация:</w:t>
      </w:r>
      <w:r>
        <w:t xml:space="preserve"> Собрать все существующие гипотезы из литературы, отчето</w:t>
      </w:r>
      <w:r>
        <w:t>в, конференций</w:t>
      </w:r>
    </w:p>
    <w:p w:rsidR="007B646B" w:rsidRDefault="002415A8">
      <w:pPr>
        <w:pStyle w:val="Compact"/>
        <w:numPr>
          <w:ilvl w:val="0"/>
          <w:numId w:val="30"/>
        </w:numPr>
      </w:pPr>
      <w:r>
        <w:rPr>
          <w:b/>
          <w:bCs/>
        </w:rPr>
        <w:t>Описание:</w:t>
      </w:r>
      <w:r>
        <w:t xml:space="preserve"> Для каждой гипотезы составить четкое описание и подготовить паспорта гипотез</w:t>
      </w:r>
    </w:p>
    <w:p w:rsidR="007B646B" w:rsidRDefault="002415A8">
      <w:pPr>
        <w:pStyle w:val="Compact"/>
        <w:numPr>
          <w:ilvl w:val="0"/>
          <w:numId w:val="30"/>
        </w:numPr>
      </w:pPr>
      <w:r>
        <w:rPr>
          <w:b/>
          <w:bCs/>
        </w:rPr>
        <w:t>Обоснование:</w:t>
      </w:r>
      <w:r>
        <w:t xml:space="preserve"> Привести научное и геологическое обоснование (аналоги, литература)</w:t>
      </w:r>
    </w:p>
    <w:p w:rsidR="007B646B" w:rsidRDefault="002415A8">
      <w:pPr>
        <w:pStyle w:val="Compact"/>
        <w:numPr>
          <w:ilvl w:val="0"/>
          <w:numId w:val="30"/>
        </w:numPr>
      </w:pPr>
      <w:r>
        <w:rPr>
          <w:b/>
          <w:bCs/>
        </w:rPr>
        <w:t>Альтернативы:</w:t>
      </w:r>
      <w:r>
        <w:t xml:space="preserve"> Указать, что может быть вместо этой гипотезы</w:t>
      </w:r>
    </w:p>
    <w:p w:rsidR="007B646B" w:rsidRDefault="002415A8">
      <w:pPr>
        <w:pStyle w:val="Compact"/>
        <w:numPr>
          <w:ilvl w:val="0"/>
          <w:numId w:val="30"/>
        </w:numPr>
      </w:pPr>
      <w:r>
        <w:rPr>
          <w:b/>
          <w:bCs/>
        </w:rPr>
        <w:t>Риски:</w:t>
      </w:r>
      <w:r>
        <w:t xml:space="preserve"> Честно о</w:t>
      </w:r>
      <w:r>
        <w:t>писать, что неизвестно и какие риски могут существовать</w:t>
      </w:r>
    </w:p>
    <w:p w:rsidR="007B646B" w:rsidRDefault="002415A8">
      <w:pPr>
        <w:pStyle w:val="Compact"/>
        <w:numPr>
          <w:ilvl w:val="0"/>
          <w:numId w:val="30"/>
        </w:numPr>
      </w:pPr>
      <w:r>
        <w:rPr>
          <w:b/>
          <w:bCs/>
        </w:rPr>
        <w:t>Категоризация:</w:t>
      </w:r>
      <w:r>
        <w:t xml:space="preserve"> Разделить на краткосрочные (подтвержденные), среднесрочные (требуют уточнения), долгосрочные (новые)</w:t>
      </w:r>
    </w:p>
    <w:p w:rsidR="007B646B" w:rsidRDefault="007B646B">
      <w:pPr>
        <w:pStyle w:val="Compact"/>
        <w:numPr>
          <w:ilvl w:val="0"/>
          <w:numId w:val="0"/>
        </w:numPr>
      </w:pPr>
    </w:p>
    <w:p w:rsidR="007B646B" w:rsidRPr="002415A8" w:rsidRDefault="002415A8">
      <w:pPr>
        <w:pStyle w:val="3"/>
      </w:pPr>
      <w:r w:rsidRPr="002415A8">
        <w:t>1.3 Район исследования</w:t>
      </w:r>
    </w:p>
    <w:p w:rsidR="007B646B" w:rsidRPr="002415A8" w:rsidRDefault="002415A8">
      <w:pPr>
        <w:rPr>
          <w:rFonts w:ascii="HeliosCondC" w:hAnsi="HeliosCondC"/>
          <w:lang w:val="ru-RU"/>
        </w:rPr>
      </w:pPr>
      <w:r w:rsidRPr="002415A8">
        <w:rPr>
          <w:rFonts w:ascii="HeliosCondC" w:hAnsi="HeliosCondC"/>
          <w:b/>
          <w:bCs/>
          <w:lang w:val="ru-RU"/>
        </w:rPr>
        <w:t>Территория Сибирской платформы,</w:t>
      </w:r>
      <w:r w:rsidRPr="002415A8">
        <w:rPr>
          <w:rFonts w:ascii="HeliosCondC" w:hAnsi="HeliosCondC"/>
          <w:lang w:val="ru-RU"/>
        </w:rPr>
        <w:t xml:space="preserve"> включая все региональные под</w:t>
      </w:r>
      <w:r w:rsidRPr="002415A8">
        <w:rPr>
          <w:rFonts w:ascii="HeliosCondC" w:hAnsi="HeliosCondC"/>
          <w:lang w:val="ru-RU"/>
        </w:rPr>
        <w:t>нятия, прогибы и выходы фундамента на поверхность.</w:t>
      </w:r>
      <w:r w:rsidRPr="002415A8">
        <w:rPr>
          <w:rFonts w:ascii="HeliosCondC" w:hAnsi="HeliosCondC"/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5940425" cy="635"/>
                <wp:effectExtent l="0" t="0" r="0" b="0"/>
                <wp:docPr id="2" name="_x0000_i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40424" cy="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1" o:spid="_x0000_s1" o:spt="1" type="#_x0000_t1" style="width:467.75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p w:rsidR="007B646B" w:rsidRDefault="002415A8">
      <w:pPr>
        <w:pStyle w:val="2"/>
      </w:pPr>
      <w:bookmarkStart w:id="5" w:name="что-является-геологической-гипотезой"/>
      <w:bookmarkEnd w:id="2"/>
      <w:bookmarkEnd w:id="4"/>
      <w:r>
        <w:t>2. ЧТО ЯВЛЯЕТСЯ "ГЕОЛОГИЧЕСКОЙ ГИПОТЕЗОЙ"?</w:t>
      </w:r>
    </w:p>
    <w:p w:rsidR="007B646B" w:rsidRDefault="002415A8">
      <w:pPr>
        <w:pStyle w:val="3"/>
      </w:pPr>
      <w:bookmarkStart w:id="6" w:name="определение"/>
      <w:r>
        <w:t>2.1 Определение</w:t>
      </w:r>
    </w:p>
    <w:p w:rsidR="007B646B" w:rsidRDefault="002415A8">
      <w:pPr>
        <w:pStyle w:val="FirstParagraph"/>
        <w:rPr>
          <w:rFonts w:ascii="HeliosCondC" w:hAnsi="HeliosCondC"/>
          <w:lang w:val="ru-RU"/>
        </w:rPr>
      </w:pPr>
      <w:r>
        <w:rPr>
          <w:rFonts w:ascii="HeliosCondC" w:hAnsi="HeliosCondC"/>
          <w:b/>
          <w:bCs/>
          <w:lang w:val="ru-RU"/>
        </w:rPr>
        <w:t>Геологическая гипотеза</w:t>
      </w:r>
      <w:r>
        <w:rPr>
          <w:rFonts w:ascii="HeliosCondC" w:hAnsi="HeliosCondC"/>
          <w:lang w:val="ru-RU"/>
        </w:rPr>
        <w:t xml:space="preserve"> — это </w:t>
      </w:r>
      <w:r>
        <w:rPr>
          <w:rFonts w:ascii="HeliosCondC" w:hAnsi="HeliosCondC"/>
          <w:b/>
          <w:bCs/>
          <w:lang w:val="ru-RU"/>
        </w:rPr>
        <w:t>обоснованное предположение</w:t>
      </w:r>
      <w:r>
        <w:rPr>
          <w:rFonts w:ascii="HeliosCondC" w:hAnsi="HeliosCondC"/>
          <w:lang w:val="ru-RU"/>
        </w:rPr>
        <w:t xml:space="preserve"> о наличии и характеристиках перспективного нефтегазоносного комплекса (НГК) или ловушки в конкретной географической зоне.</w:t>
      </w:r>
    </w:p>
    <w:p w:rsidR="007B646B" w:rsidRDefault="002415A8">
      <w:pPr>
        <w:pStyle w:val="a0"/>
        <w:rPr>
          <w:rFonts w:ascii="HeliosCondC" w:hAnsi="HeliosCondC"/>
          <w:lang w:val="ru-RU"/>
        </w:rPr>
      </w:pPr>
      <w:r>
        <w:rPr>
          <w:rFonts w:ascii="HeliosCondC" w:hAnsi="HeliosCondC"/>
          <w:lang w:val="ru-RU"/>
        </w:rPr>
        <w:t>Хорошая гипотеза содержит ответы на вопросы:</w:t>
      </w:r>
    </w:p>
    <w:p w:rsidR="007B646B" w:rsidRDefault="002415A8">
      <w:pPr>
        <w:pStyle w:val="Compact"/>
        <w:numPr>
          <w:ilvl w:val="0"/>
          <w:numId w:val="31"/>
        </w:numPr>
      </w:pPr>
      <w:r>
        <w:rPr>
          <w:b/>
          <w:bCs/>
        </w:rPr>
        <w:t>Какой НГК?</w:t>
      </w:r>
      <w:r>
        <w:t xml:space="preserve"> (возраст, характер отложений: кембрий, девон, пермь и т.д.)</w:t>
      </w:r>
    </w:p>
    <w:p w:rsidR="007B646B" w:rsidRDefault="002415A8">
      <w:pPr>
        <w:pStyle w:val="Compact"/>
        <w:numPr>
          <w:ilvl w:val="0"/>
          <w:numId w:val="31"/>
        </w:numPr>
      </w:pPr>
      <w:r>
        <w:rPr>
          <w:b/>
          <w:bCs/>
        </w:rPr>
        <w:t>Где?</w:t>
      </w:r>
      <w:r>
        <w:t xml:space="preserve"> (какая НГО, синеклиза, антеклиза, площадь)</w:t>
      </w:r>
    </w:p>
    <w:p w:rsidR="007B646B" w:rsidRDefault="002415A8">
      <w:pPr>
        <w:pStyle w:val="Compact"/>
        <w:numPr>
          <w:ilvl w:val="0"/>
          <w:numId w:val="31"/>
        </w:numPr>
      </w:pPr>
      <w:r>
        <w:rPr>
          <w:b/>
          <w:bCs/>
        </w:rPr>
        <w:t>Какой тип ловушки?</w:t>
      </w:r>
      <w:r>
        <w:t xml:space="preserve"> (структурная, литолого-фациальная, комбинированная, стратиграфическая)</w:t>
      </w:r>
    </w:p>
    <w:p w:rsidR="007B646B" w:rsidRDefault="002415A8">
      <w:pPr>
        <w:pStyle w:val="Compact"/>
        <w:numPr>
          <w:ilvl w:val="0"/>
          <w:numId w:val="31"/>
        </w:numPr>
      </w:pPr>
      <w:r>
        <w:rPr>
          <w:b/>
          <w:bCs/>
        </w:rPr>
        <w:t>Почему перспективна?</w:t>
      </w:r>
      <w:r>
        <w:t xml:space="preserve"> (есть аналоги, есть косвенные признаки, логика геологии)</w:t>
      </w:r>
    </w:p>
    <w:p w:rsidR="007B646B" w:rsidRDefault="002415A8">
      <w:pPr>
        <w:pStyle w:val="Compact"/>
        <w:numPr>
          <w:ilvl w:val="0"/>
          <w:numId w:val="31"/>
        </w:numPr>
      </w:pPr>
      <w:r>
        <w:rPr>
          <w:b/>
          <w:bCs/>
        </w:rPr>
        <w:t>Какие риск-факторы?</w:t>
      </w:r>
      <w:r>
        <w:t xml:space="preserve"> (что может пойти не так?</w:t>
      </w:r>
      <w:r>
        <w:t>)</w:t>
      </w:r>
    </w:p>
    <w:p w:rsidR="007B646B" w:rsidRDefault="002415A8">
      <w:pPr>
        <w:pStyle w:val="3"/>
      </w:pPr>
      <w:bookmarkStart w:id="7" w:name="примеры-хороших-гипотез"/>
      <w:bookmarkEnd w:id="6"/>
      <w:r>
        <w:t>2.2 Примеры хороших гипотез</w:t>
      </w:r>
    </w:p>
    <w:p w:rsidR="007B646B" w:rsidRDefault="002415A8">
      <w:pPr>
        <w:pStyle w:val="FirstParagraph"/>
        <w:rPr>
          <w:rFonts w:ascii="HeliosCondC" w:hAnsi="HeliosCondC"/>
          <w:lang w:val="ru-RU"/>
        </w:rPr>
      </w:pPr>
      <w:r>
        <w:rPr>
          <w:rFonts w:ascii="HeliosCondC" w:hAnsi="HeliosCondC"/>
          <w:b/>
          <w:bCs/>
          <w:lang w:val="ru-RU"/>
        </w:rPr>
        <w:t>Гипотеза 1: Рифовые банки Моктаконской свиты (ЮТНГО)</w:t>
      </w:r>
    </w:p>
    <w:p w:rsidR="007B646B" w:rsidRDefault="002415A8">
      <w:pPr>
        <w:pStyle w:val="Compact"/>
        <w:numPr>
          <w:ilvl w:val="0"/>
          <w:numId w:val="32"/>
        </w:numPr>
      </w:pPr>
      <w:r>
        <w:t>НГК: Верхний кембрий (осинский, моктаконский горизонт)</w:t>
      </w:r>
    </w:p>
    <w:p w:rsidR="007B646B" w:rsidRDefault="002415A8">
      <w:pPr>
        <w:pStyle w:val="Compact"/>
        <w:numPr>
          <w:ilvl w:val="0"/>
          <w:numId w:val="32"/>
        </w:numPr>
      </w:pPr>
      <w:r>
        <w:t>Где: Южно-Тунгусская НГО</w:t>
      </w:r>
    </w:p>
    <w:p w:rsidR="007B646B" w:rsidRDefault="002415A8">
      <w:pPr>
        <w:pStyle w:val="Compact"/>
        <w:numPr>
          <w:ilvl w:val="0"/>
          <w:numId w:val="32"/>
        </w:numPr>
      </w:pPr>
      <w:r>
        <w:t>Ловушка: Органогенные постройки (рифовые банки) + подъем кровли</w:t>
      </w:r>
    </w:p>
    <w:p w:rsidR="007B646B" w:rsidRDefault="002415A8">
      <w:pPr>
        <w:pStyle w:val="Compact"/>
        <w:numPr>
          <w:ilvl w:val="0"/>
          <w:numId w:val="32"/>
        </w:numPr>
      </w:pPr>
      <w:r>
        <w:t>Почему: Подтверждены испытани</w:t>
      </w:r>
      <w:r>
        <w:t>ями, притоки газа/нефти, есть месторождения</w:t>
      </w:r>
    </w:p>
    <w:p w:rsidR="007B646B" w:rsidRDefault="002415A8">
      <w:pPr>
        <w:pStyle w:val="Compact"/>
        <w:numPr>
          <w:ilvl w:val="0"/>
          <w:numId w:val="32"/>
        </w:numPr>
      </w:pPr>
      <w:r>
        <w:t>Риск: Малая толщина коллектора вне банок (2–5 м), диагенез может уменьшить пористость</w:t>
      </w:r>
    </w:p>
    <w:p w:rsidR="007B646B" w:rsidRDefault="002415A8">
      <w:pPr>
        <w:pStyle w:val="FirstParagraph"/>
        <w:rPr>
          <w:rFonts w:ascii="HeliosCondC" w:hAnsi="HeliosCondC"/>
          <w:lang w:val="ru-RU"/>
        </w:rPr>
      </w:pPr>
      <w:r>
        <w:rPr>
          <w:rFonts w:ascii="HeliosCondC" w:hAnsi="HeliosCondC"/>
          <w:b/>
          <w:bCs/>
          <w:lang w:val="ru-RU"/>
        </w:rPr>
        <w:t>Гипотеза 2: Куонамская НГМТ в кембрийских коллекторах (Вилюйская НГО)</w:t>
      </w:r>
    </w:p>
    <w:p w:rsidR="007B646B" w:rsidRDefault="002415A8">
      <w:pPr>
        <w:pStyle w:val="Compact"/>
        <w:numPr>
          <w:ilvl w:val="0"/>
          <w:numId w:val="33"/>
        </w:numPr>
      </w:pPr>
      <w:r>
        <w:lastRenderedPageBreak/>
        <w:t>НГК: Нижний кембрий (куонамская свита) как НГМТ + кембри</w:t>
      </w:r>
      <w:r>
        <w:t>йские карбонаты как коллекторы</w:t>
      </w:r>
    </w:p>
    <w:p w:rsidR="007B646B" w:rsidRDefault="002415A8">
      <w:pPr>
        <w:pStyle w:val="Compact"/>
        <w:numPr>
          <w:ilvl w:val="0"/>
          <w:numId w:val="33"/>
        </w:numPr>
      </w:pPr>
      <w:r>
        <w:t>Где: Вилюйская НГО</w:t>
      </w:r>
    </w:p>
    <w:p w:rsidR="007B646B" w:rsidRDefault="002415A8">
      <w:pPr>
        <w:pStyle w:val="Compact"/>
        <w:numPr>
          <w:ilvl w:val="0"/>
          <w:numId w:val="33"/>
        </w:numPr>
      </w:pPr>
      <w:r>
        <w:t>Ловушка: Краевые рифы, окаймляющие карбонатные платформы</w:t>
      </w:r>
    </w:p>
    <w:p w:rsidR="007B646B" w:rsidRDefault="002415A8">
      <w:pPr>
        <w:pStyle w:val="Compact"/>
        <w:numPr>
          <w:ilvl w:val="0"/>
          <w:numId w:val="33"/>
        </w:numPr>
      </w:pPr>
      <w:r>
        <w:t>Почему: Черные аргиллиты куонамской свиты содержат 3–25% ОВ, морской сапропелевый тип</w:t>
      </w:r>
    </w:p>
    <w:p w:rsidR="007B646B" w:rsidRDefault="002415A8">
      <w:pPr>
        <w:pStyle w:val="Compact"/>
        <w:numPr>
          <w:ilvl w:val="0"/>
          <w:numId w:val="33"/>
        </w:numPr>
      </w:pPr>
      <w:r>
        <w:t xml:space="preserve">Риск: Нужна геохимия, пути миграции жидких УВ неясны, диагенез </w:t>
      </w:r>
      <w:r>
        <w:t>может "запереть" ОВ</w:t>
      </w:r>
    </w:p>
    <w:p w:rsidR="007B646B" w:rsidRDefault="002415A8">
      <w:pPr>
        <w:rPr>
          <w:rFonts w:ascii="HeliosCondC" w:hAnsi="HeliosCondC"/>
        </w:rPr>
      </w:pPr>
      <w:r>
        <w:rPr>
          <w:rFonts w:ascii="HeliosCondC" w:hAnsi="HeliosCondC"/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5940425" cy="635"/>
                <wp:effectExtent l="0" t="0" r="0" b="0"/>
                <wp:docPr id="3" name="_x0000_i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4042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2" o:spid="_x0000_s2" o:spt="1" type="#_x0000_t1" style="width:467.75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p w:rsidR="007B646B" w:rsidRDefault="002415A8">
      <w:pPr>
        <w:pStyle w:val="2"/>
      </w:pPr>
      <w:bookmarkStart w:id="8" w:name="структура-каталога-гипотез"/>
      <w:bookmarkEnd w:id="5"/>
      <w:bookmarkEnd w:id="7"/>
      <w:r>
        <w:t>3. СТРУКТУРА КАТАЛОГА ГИПОТЕЗ</w:t>
      </w:r>
    </w:p>
    <w:p w:rsidR="007B646B" w:rsidRDefault="002415A8">
      <w:pPr>
        <w:pStyle w:val="3"/>
      </w:pPr>
      <w:bookmarkStart w:id="9" w:name="что-должно-быть-в-каталоге"/>
      <w:r>
        <w:t>3.1 Что должно быть в каталоге</w:t>
      </w:r>
    </w:p>
    <w:p w:rsidR="007B646B" w:rsidRDefault="002415A8">
      <w:pPr>
        <w:pStyle w:val="FirstParagraph"/>
        <w:rPr>
          <w:rFonts w:ascii="HeliosCondC" w:hAnsi="HeliosCondC"/>
          <w:lang w:val="ru-RU"/>
        </w:rPr>
      </w:pPr>
      <w:r>
        <w:rPr>
          <w:rFonts w:ascii="HeliosCondC" w:hAnsi="HeliosCondC"/>
          <w:lang w:val="ru-RU"/>
        </w:rPr>
        <w:t>Один документ (</w:t>
      </w:r>
      <w:r>
        <w:rPr>
          <w:rFonts w:ascii="HeliosCondC" w:hAnsi="HeliosCondC"/>
        </w:rPr>
        <w:t>XLSX</w:t>
      </w:r>
      <w:r>
        <w:rPr>
          <w:rFonts w:ascii="HeliosCondC" w:hAnsi="HeliosCondC"/>
          <w:lang w:val="ru-RU"/>
        </w:rPr>
        <w:t>) с листами:</w:t>
      </w:r>
    </w:p>
    <w:p w:rsidR="007B646B" w:rsidRDefault="002415A8">
      <w:pPr>
        <w:pStyle w:val="Compact"/>
        <w:numPr>
          <w:ilvl w:val="0"/>
          <w:numId w:val="34"/>
        </w:numPr>
      </w:pPr>
      <w:r>
        <w:rPr>
          <w:b/>
          <w:bCs/>
        </w:rPr>
        <w:t>Лист "Краткосрочные гипотезы"</w:t>
      </w:r>
      <w:r>
        <w:t xml:space="preserve"> : подтверждены на аналогах или скважинах</w:t>
      </w:r>
    </w:p>
    <w:p w:rsidR="007B646B" w:rsidRDefault="002415A8">
      <w:pPr>
        <w:pStyle w:val="Compact"/>
        <w:numPr>
          <w:ilvl w:val="0"/>
          <w:numId w:val="34"/>
        </w:numPr>
      </w:pPr>
      <w:r>
        <w:rPr>
          <w:b/>
          <w:bCs/>
        </w:rPr>
        <w:t>Лист "Среднесрочные гипотезы"</w:t>
      </w:r>
      <w:r>
        <w:t xml:space="preserve"> : требуют уточнения, нужны ГРР</w:t>
      </w:r>
    </w:p>
    <w:p w:rsidR="007B646B" w:rsidRDefault="002415A8">
      <w:pPr>
        <w:pStyle w:val="Compact"/>
        <w:numPr>
          <w:ilvl w:val="0"/>
          <w:numId w:val="34"/>
        </w:numPr>
      </w:pPr>
      <w:r>
        <w:rPr>
          <w:b/>
          <w:bCs/>
        </w:rPr>
        <w:t>Лист "Дол</w:t>
      </w:r>
      <w:r>
        <w:rPr>
          <w:b/>
          <w:bCs/>
        </w:rPr>
        <w:t>госрочные гипотезы"</w:t>
      </w:r>
      <w:r>
        <w:t xml:space="preserve"> : новые, требуют существенной разработки</w:t>
      </w:r>
    </w:p>
    <w:p w:rsidR="007B646B" w:rsidRDefault="002415A8">
      <w:pPr>
        <w:pStyle w:val="3"/>
      </w:pPr>
      <w:bookmarkStart w:id="10" w:name="X44464600303d57be2dbfe65fde5b40bd17e9ae5"/>
      <w:bookmarkEnd w:id="9"/>
      <w:r>
        <w:t>3.2 Для каждой гипотезы должны быть разделы (колонки в XLSX)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468"/>
        <w:gridCol w:w="3219"/>
        <w:gridCol w:w="4002"/>
      </w:tblGrid>
      <w:tr w:rsidR="007B646B" w:rsidTr="007B64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Раздел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Пример</w:t>
            </w:r>
          </w:p>
        </w:tc>
      </w:tr>
      <w:tr w:rsidR="007B646B" w:rsidTr="007B646B"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rPr>
                <w:b/>
                <w:bCs/>
              </w:rPr>
              <w:t>№ и название гипотезы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Короткое, понятное для всех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"Рифовые банки Моктаконской свиты"</w:t>
            </w:r>
          </w:p>
        </w:tc>
      </w:tr>
      <w:tr w:rsidR="007B646B" w:rsidTr="007B646B"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rPr>
                <w:b/>
                <w:bCs/>
              </w:rPr>
              <w:t>НГК (возраст)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Возраст + наименование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"Верхний кембрий, осинский горизонт"</w:t>
            </w:r>
          </w:p>
        </w:tc>
      </w:tr>
      <w:tr w:rsidR="007B646B" w:rsidRPr="002415A8" w:rsidTr="007B646B"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rPr>
                <w:b/>
                <w:bCs/>
              </w:rPr>
              <w:t>Географическое распространение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Какие НГО, синеклизы, площади?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"Южно-Тунгусская НГО, Таначинская, Моктаконская площади"</w:t>
            </w:r>
          </w:p>
        </w:tc>
      </w:tr>
      <w:tr w:rsidR="007B646B" w:rsidTr="007B646B"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rPr>
                <w:b/>
                <w:bCs/>
              </w:rPr>
              <w:t>Тип ловушки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Структурная / лито-фац / комбинированная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"Органогенные постройки (литолого-фациальная)"</w:t>
            </w:r>
          </w:p>
        </w:tc>
      </w:tr>
      <w:tr w:rsidR="007B646B" w:rsidRPr="002415A8" w:rsidTr="007B646B"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rPr>
                <w:b/>
                <w:bCs/>
              </w:rPr>
              <w:t>Научное описание (1–2 абзаца)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Полное описание модели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"Рифовые банки размером... состоят из... коллектора получены из..."</w:t>
            </w:r>
          </w:p>
        </w:tc>
      </w:tr>
      <w:tr w:rsidR="007B646B" w:rsidRPr="002415A8" w:rsidTr="007B646B"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rPr>
                <w:b/>
                <w:bCs/>
              </w:rPr>
              <w:t>Аналог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Какое известное месторождение/объект похож?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"Моктаконское МПЛ (Таначинская площ</w:t>
            </w:r>
            <w:r>
              <w:t>адь): залежи газа"</w:t>
            </w:r>
          </w:p>
        </w:tc>
      </w:tr>
      <w:tr w:rsidR="007B646B" w:rsidTr="007B646B"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rPr>
                <w:b/>
                <w:bCs/>
              </w:rPr>
              <w:t>Обоснование (источники)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Почему она перспективна? Ссылки на литературу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"[1] Источник 1 и др., 2015; [2] СРР 3D интерпретация скв. МКТ-3"</w:t>
            </w:r>
          </w:p>
        </w:tc>
      </w:tr>
      <w:tr w:rsidR="007B646B" w:rsidRPr="002415A8" w:rsidTr="007B646B"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rPr>
                <w:b/>
                <w:bCs/>
              </w:rPr>
              <w:t>Альтернативные гипотезы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Что может быть вместо?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"Коллектора нет вне банок; Миграция не произошла"</w:t>
            </w:r>
          </w:p>
        </w:tc>
      </w:tr>
      <w:tr w:rsidR="007B646B" w:rsidRPr="002415A8" w:rsidTr="007B646B"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rPr>
                <w:b/>
                <w:bCs/>
              </w:rPr>
              <w:t>К</w:t>
            </w:r>
            <w:r>
              <w:rPr>
                <w:b/>
                <w:bCs/>
              </w:rPr>
              <w:t>лючевые неопределенности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Что неизвестно?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"Малая толщина коллектора (2–5 м); Сохранность ловушек после диагенеза"</w:t>
            </w:r>
          </w:p>
        </w:tc>
      </w:tr>
      <w:tr w:rsidR="007B646B" w:rsidRPr="002415A8" w:rsidTr="007B646B"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rPr>
                <w:b/>
                <w:bCs/>
              </w:rPr>
              <w:t>Риск-факторы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Честное описание пробелов в информации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"Скважин мало, покрытие СРР неполное; Может быть пропущены рифовые банки"</w:t>
            </w:r>
          </w:p>
        </w:tc>
      </w:tr>
      <w:tr w:rsidR="007B646B" w:rsidRPr="002415A8" w:rsidTr="007B646B"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rPr>
                <w:b/>
                <w:bCs/>
              </w:rPr>
              <w:t>Требуемые ГРР для проверки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Какие работы нужны?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"Переинтерпретация СРР; Параметрическое бурение; Геохимия"</w:t>
            </w:r>
          </w:p>
        </w:tc>
      </w:tr>
      <w:tr w:rsidR="007B646B" w:rsidRPr="002415A8" w:rsidTr="007B646B"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rPr>
                <w:b/>
                <w:bCs/>
              </w:rPr>
              <w:t>Степень неопределенности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Высокая / Средняя / Низкая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"Средняя (подтверждено аналогом, но нужно уточнение)"</w:t>
            </w:r>
          </w:p>
        </w:tc>
      </w:tr>
      <w:tr w:rsidR="007B646B" w:rsidRPr="002415A8" w:rsidTr="007B646B"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rPr>
                <w:b/>
                <w:bCs/>
              </w:rPr>
              <w:t>Примерная РБ (ориентировка)</w:t>
            </w:r>
          </w:p>
        </w:tc>
        <w:tc>
          <w:tcPr>
            <w:tcW w:w="0" w:type="auto"/>
          </w:tcPr>
          <w:p w:rsidR="007B646B" w:rsidRPr="002415A8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 w:rsidRPr="002415A8">
              <w:t>Р90, млн т или</w:t>
            </w:r>
            <w:r w:rsidRPr="002415A8">
              <w:t xml:space="preserve"> млрд м</w:t>
            </w:r>
            <w:r w:rsidRPr="002415A8">
              <w:rPr>
                <w:rFonts w:ascii="Cambria" w:hAnsi="Cambria" w:cs="Cambria"/>
              </w:rPr>
              <w:t>³</w:t>
            </w:r>
          </w:p>
          <w:p w:rsidR="007B646B" w:rsidRPr="002415A8" w:rsidRDefault="002415A8">
            <w:pPr>
              <w:pStyle w:val="Compact"/>
              <w:numPr>
                <w:ilvl w:val="0"/>
                <w:numId w:val="0"/>
              </w:numPr>
              <w:spacing w:before="0" w:after="0"/>
              <w:rPr>
                <w:rFonts w:ascii="Cambria" w:hAnsi="Cambria" w:cs="Cambria"/>
              </w:rPr>
            </w:pPr>
            <w:r w:rsidRPr="002415A8">
              <w:t>P50, млн т или млрд м</w:t>
            </w:r>
            <w:r w:rsidRPr="002415A8">
              <w:rPr>
                <w:rFonts w:ascii="Cambria" w:hAnsi="Cambria" w:cs="Cambria"/>
              </w:rPr>
              <w:t>³</w:t>
            </w:r>
          </w:p>
          <w:p w:rsidR="007B646B" w:rsidRPr="002415A8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 w:rsidRPr="002415A8">
              <w:t>Р10, млн т или млрд м</w:t>
            </w:r>
            <w:r w:rsidRPr="002415A8">
              <w:rPr>
                <w:rFonts w:ascii="Cambria" w:hAnsi="Cambria" w:cs="Cambria"/>
              </w:rPr>
              <w:t>³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"200–300 млн т (предварительно, ТЗ-2 уточнит)"</w:t>
            </w:r>
          </w:p>
        </w:tc>
      </w:tr>
    </w:tbl>
    <w:p w:rsidR="007B646B" w:rsidRDefault="002415A8">
      <w:pPr>
        <w:pStyle w:val="3"/>
      </w:pPr>
      <w:bookmarkStart w:id="11" w:name="таблица-для-быстрого-ознакомления"/>
      <w:bookmarkEnd w:id="10"/>
      <w:r>
        <w:t>3.3 Таблица для быстрого ознакомления</w:t>
      </w:r>
    </w:p>
    <w:p w:rsidR="007B646B" w:rsidRDefault="002415A8">
      <w:pPr>
        <w:pStyle w:val="FirstParagraph"/>
        <w:rPr>
          <w:rFonts w:ascii="HeliosCondC" w:hAnsi="HeliosCondC"/>
          <w:lang w:val="ru-RU"/>
        </w:rPr>
      </w:pPr>
      <w:r>
        <w:rPr>
          <w:rFonts w:ascii="HeliosCondC" w:hAnsi="HeliosCondC"/>
          <w:lang w:val="ru-RU"/>
        </w:rPr>
        <w:t xml:space="preserve">Добавьте в начало каталога </w:t>
      </w:r>
      <w:r>
        <w:rPr>
          <w:rFonts w:ascii="HeliosCondC" w:hAnsi="HeliosCondC"/>
          <w:b/>
          <w:bCs/>
          <w:lang w:val="ru-RU"/>
        </w:rPr>
        <w:t>сводную таблицу</w:t>
      </w:r>
      <w:r>
        <w:rPr>
          <w:rFonts w:ascii="HeliosCondC" w:hAnsi="HeliosCondC"/>
          <w:lang w:val="ru-RU"/>
        </w:rPr>
        <w:t>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568"/>
        <w:gridCol w:w="1048"/>
        <w:gridCol w:w="1261"/>
        <w:gridCol w:w="1711"/>
        <w:gridCol w:w="1258"/>
        <w:gridCol w:w="1555"/>
        <w:gridCol w:w="1288"/>
      </w:tblGrid>
      <w:tr w:rsidR="007B646B" w:rsidTr="007B64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Гипотеза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НГК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Где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Статус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Примерная РБ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Аналог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Требуемые ГРР</w:t>
            </w:r>
          </w:p>
        </w:tc>
      </w:tr>
      <w:tr w:rsidR="007B646B" w:rsidTr="007B646B"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Рифовые банки Моктаконской свиты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Верхний кембрий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ЮТНГО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Краткосрочная (подтверждена)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250 млн т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Моктаконское МПЛ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ПБИКР, переинтер. СРР</w:t>
            </w:r>
          </w:p>
        </w:tc>
      </w:tr>
      <w:tr w:rsidR="007B646B" w:rsidRPr="002415A8" w:rsidTr="007B646B"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Куонамская НГМТ + кембрий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Кембрий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Вилюйская НГО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Среднесрочная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  <w:rPr>
                <w:highlight w:val="yellow"/>
              </w:rPr>
            </w:pPr>
            <w:r>
              <w:t>300 млн т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Вилюй-4 скв.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СРР 2D, параметр. бур., геохимия</w:t>
            </w:r>
          </w:p>
        </w:tc>
      </w:tr>
      <w:tr w:rsidR="007B646B" w:rsidTr="007B646B"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...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...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...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...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...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...</w:t>
            </w:r>
          </w:p>
        </w:tc>
        <w:tc>
          <w:tcPr>
            <w:tcW w:w="0" w:type="auto"/>
          </w:tcPr>
          <w:p w:rsidR="007B646B" w:rsidRDefault="002415A8">
            <w:pPr>
              <w:pStyle w:val="Compact"/>
              <w:numPr>
                <w:ilvl w:val="0"/>
                <w:numId w:val="0"/>
              </w:numPr>
              <w:spacing w:before="0" w:after="0"/>
            </w:pPr>
            <w:r>
              <w:t>...</w:t>
            </w:r>
          </w:p>
        </w:tc>
      </w:tr>
    </w:tbl>
    <w:p w:rsidR="007B646B" w:rsidRDefault="002415A8">
      <w:pPr>
        <w:pStyle w:val="3"/>
      </w:pPr>
      <w:bookmarkStart w:id="12" w:name="карты-перспектив-и-паспорта-гипотез"/>
      <w:bookmarkEnd w:id="11"/>
      <w:r>
        <w:t>3.4 Карты перспектив и паспорта гипотез</w:t>
      </w:r>
    </w:p>
    <w:p w:rsidR="007B646B" w:rsidRDefault="002415A8">
      <w:pPr>
        <w:pStyle w:val="FirstParagraph"/>
        <w:rPr>
          <w:rFonts w:ascii="HeliosCondC" w:hAnsi="HeliosCondC"/>
          <w:lang w:val="ru-RU"/>
        </w:rPr>
      </w:pPr>
      <w:r>
        <w:rPr>
          <w:rFonts w:ascii="HeliosCondC" w:hAnsi="HeliosCondC"/>
          <w:b/>
          <w:bCs/>
          <w:lang w:val="ru-RU"/>
        </w:rPr>
        <w:t>Карты перспективности</w:t>
      </w:r>
      <w:r>
        <w:rPr>
          <w:rFonts w:ascii="HeliosCondC" w:hAnsi="HeliosCondC"/>
          <w:lang w:val="ru-RU"/>
        </w:rPr>
        <w:t xml:space="preserve"> должны быть в формате </w:t>
      </w:r>
      <w:r>
        <w:rPr>
          <w:rFonts w:ascii="HeliosCondC" w:hAnsi="HeliosCondC"/>
        </w:rPr>
        <w:t>GIS</w:t>
      </w:r>
      <w:r>
        <w:rPr>
          <w:rFonts w:ascii="HeliosCondC" w:hAnsi="HeliosCondC"/>
          <w:lang w:val="ru-RU"/>
        </w:rPr>
        <w:t xml:space="preserve"> (например, </w:t>
      </w:r>
      <w:r>
        <w:rPr>
          <w:rFonts w:ascii="HeliosCondC" w:hAnsi="HeliosCondC"/>
        </w:rPr>
        <w:t>ArcGIS</w:t>
      </w:r>
      <w:r>
        <w:rPr>
          <w:rFonts w:ascii="HeliosCondC" w:hAnsi="HeliosCondC"/>
          <w:lang w:val="ru-RU"/>
        </w:rPr>
        <w:t xml:space="preserve"> или </w:t>
      </w:r>
      <w:r>
        <w:rPr>
          <w:rFonts w:ascii="HeliosCondC" w:hAnsi="HeliosCondC"/>
        </w:rPr>
        <w:t>QGIS</w:t>
      </w:r>
      <w:r>
        <w:rPr>
          <w:rFonts w:ascii="HeliosCondC" w:hAnsi="HeliosCondC"/>
          <w:lang w:val="ru-RU"/>
        </w:rPr>
        <w:t>), с наложением слоев для визуализации гипотез. Одна общая карта для всего региона, по которому формулируется гипотеза.</w:t>
      </w:r>
    </w:p>
    <w:p w:rsidR="007B646B" w:rsidRDefault="002415A8">
      <w:pPr>
        <w:pStyle w:val="a0"/>
        <w:rPr>
          <w:rFonts w:ascii="HeliosCondC" w:hAnsi="HeliosCondC"/>
        </w:rPr>
      </w:pPr>
      <w:r>
        <w:rPr>
          <w:rFonts w:ascii="HeliosCondC" w:hAnsi="HeliosCondC"/>
        </w:rPr>
        <w:t>Что содержит карта (9 слоёв):</w:t>
      </w:r>
    </w:p>
    <w:p w:rsidR="007B646B" w:rsidRDefault="002415A8">
      <w:pPr>
        <w:pStyle w:val="Compact"/>
        <w:numPr>
          <w:ilvl w:val="0"/>
          <w:numId w:val="35"/>
        </w:numPr>
      </w:pPr>
      <w:r>
        <w:t>Гипотезы (зелёный/жёлтый/красный)</w:t>
      </w:r>
    </w:p>
    <w:p w:rsidR="007B646B" w:rsidRPr="002415A8" w:rsidRDefault="002415A8">
      <w:pPr>
        <w:pStyle w:val="Compact"/>
        <w:numPr>
          <w:ilvl w:val="0"/>
          <w:numId w:val="35"/>
        </w:numPr>
      </w:pPr>
      <w:r w:rsidRPr="002415A8">
        <w:t>РБ тепловая карта (синий</w:t>
      </w:r>
      <w:r w:rsidRPr="002415A8">
        <w:rPr>
          <w:rFonts w:ascii="Times New Roman" w:hAnsi="Times New Roman" w:cs="Times New Roman"/>
        </w:rPr>
        <w:t>→</w:t>
      </w:r>
      <w:r w:rsidRPr="002415A8">
        <w:t>красный)</w:t>
      </w:r>
    </w:p>
    <w:p w:rsidR="007B646B" w:rsidRPr="002415A8" w:rsidRDefault="002415A8">
      <w:pPr>
        <w:pStyle w:val="Compact"/>
        <w:numPr>
          <w:ilvl w:val="0"/>
          <w:numId w:val="35"/>
        </w:numPr>
      </w:pPr>
      <w:r w:rsidRPr="002415A8">
        <w:t>Зоны неопределённости (штриховка)</w:t>
      </w:r>
    </w:p>
    <w:p w:rsidR="007B646B" w:rsidRPr="002415A8" w:rsidRDefault="002415A8">
      <w:pPr>
        <w:pStyle w:val="Compact"/>
        <w:numPr>
          <w:ilvl w:val="0"/>
          <w:numId w:val="35"/>
        </w:numPr>
      </w:pPr>
      <w:r w:rsidRPr="002415A8">
        <w:t>Скважины (точки по глубине)</w:t>
      </w:r>
    </w:p>
    <w:p w:rsidR="007B646B" w:rsidRPr="002415A8" w:rsidRDefault="002415A8">
      <w:pPr>
        <w:pStyle w:val="Compact"/>
        <w:numPr>
          <w:ilvl w:val="0"/>
          <w:numId w:val="35"/>
        </w:numPr>
      </w:pPr>
      <w:r w:rsidRPr="002415A8">
        <w:t>Структурные элементы (линии)</w:t>
      </w:r>
    </w:p>
    <w:p w:rsidR="007B646B" w:rsidRPr="002415A8" w:rsidRDefault="002415A8">
      <w:pPr>
        <w:pStyle w:val="Compact"/>
        <w:numPr>
          <w:ilvl w:val="0"/>
          <w:numId w:val="35"/>
        </w:numPr>
      </w:pPr>
      <w:r w:rsidRPr="002415A8">
        <w:t>СРР-профили (интерактивные)</w:t>
      </w:r>
    </w:p>
    <w:p w:rsidR="007B646B" w:rsidRPr="002415A8" w:rsidRDefault="002415A8">
      <w:pPr>
        <w:pStyle w:val="Compact"/>
        <w:numPr>
          <w:ilvl w:val="0"/>
          <w:numId w:val="35"/>
        </w:numPr>
      </w:pPr>
      <w:r w:rsidRPr="002415A8">
        <w:t>Месторождения-аналоги (размер по запасам)</w:t>
      </w:r>
    </w:p>
    <w:p w:rsidR="007B646B" w:rsidRPr="002415A8" w:rsidRDefault="002415A8">
      <w:pPr>
        <w:pStyle w:val="Compact"/>
        <w:numPr>
          <w:ilvl w:val="0"/>
          <w:numId w:val="35"/>
        </w:numPr>
      </w:pPr>
      <w:r w:rsidRPr="002415A8">
        <w:t>Границы НГО</w:t>
      </w:r>
    </w:p>
    <w:p w:rsidR="007B646B" w:rsidRPr="002415A8" w:rsidRDefault="002415A8">
      <w:pPr>
        <w:pStyle w:val="Compact"/>
        <w:numPr>
          <w:ilvl w:val="0"/>
          <w:numId w:val="35"/>
        </w:numPr>
      </w:pPr>
      <w:r w:rsidRPr="002415A8">
        <w:lastRenderedPageBreak/>
        <w:t>Подложка</w:t>
      </w:r>
    </w:p>
    <w:p w:rsidR="007B646B" w:rsidRPr="002415A8" w:rsidRDefault="002415A8">
      <w:pPr>
        <w:pStyle w:val="Compact"/>
        <w:numPr>
          <w:ilvl w:val="0"/>
          <w:numId w:val="35"/>
        </w:numPr>
      </w:pPr>
      <w:r w:rsidRPr="002415A8">
        <w:t>Типовой разрез через район с гиптоезой</w:t>
      </w:r>
    </w:p>
    <w:p w:rsidR="007B646B" w:rsidRPr="002415A8" w:rsidRDefault="002415A8">
      <w:pPr>
        <w:pStyle w:val="FirstParagraph"/>
        <w:rPr>
          <w:rFonts w:ascii="HeliosCondC" w:hAnsi="HeliosCondC"/>
        </w:rPr>
      </w:pPr>
      <w:r w:rsidRPr="002415A8">
        <w:rPr>
          <w:rFonts w:ascii="HeliosCondC" w:hAnsi="HeliosCondC"/>
          <w:b/>
          <w:bCs/>
          <w:lang w:val="ru-RU"/>
        </w:rPr>
        <w:t>Паспорта гипотез</w:t>
      </w:r>
      <w:r w:rsidRPr="002415A8">
        <w:rPr>
          <w:rFonts w:ascii="HeliosCondC" w:hAnsi="HeliosCondC"/>
          <w:lang w:val="ru-RU"/>
        </w:rPr>
        <w:t xml:space="preserve"> — отдельные документы (</w:t>
      </w:r>
      <w:r w:rsidRPr="002415A8">
        <w:rPr>
          <w:rFonts w:ascii="HeliosCondC" w:hAnsi="HeliosCondC"/>
        </w:rPr>
        <w:t>PDF</w:t>
      </w:r>
      <w:r w:rsidRPr="002415A8">
        <w:rPr>
          <w:rFonts w:ascii="HeliosCondC" w:hAnsi="HeliosCondC"/>
          <w:lang w:val="ru-RU"/>
        </w:rPr>
        <w:t xml:space="preserve"> или </w:t>
      </w:r>
      <w:r w:rsidRPr="002415A8">
        <w:rPr>
          <w:rFonts w:ascii="HeliosCondC" w:hAnsi="HeliosCondC"/>
        </w:rPr>
        <w:t>DOCX</w:t>
      </w:r>
      <w:r w:rsidRPr="002415A8">
        <w:rPr>
          <w:rFonts w:ascii="HeliosCondC" w:hAnsi="HeliosCondC"/>
          <w:lang w:val="ru-RU"/>
        </w:rPr>
        <w:t>) для каждой гипо</w:t>
      </w:r>
      <w:r w:rsidRPr="002415A8">
        <w:rPr>
          <w:rFonts w:ascii="HeliosCondC" w:hAnsi="HeliosCondC"/>
          <w:lang w:val="ru-RU"/>
        </w:rPr>
        <w:t xml:space="preserve">тезы, с визуализацией и ключевыми данными. </w:t>
      </w:r>
      <w:r w:rsidRPr="002415A8">
        <w:rPr>
          <w:rFonts w:ascii="HeliosCondC" w:hAnsi="HeliosCondC"/>
        </w:rPr>
        <w:t>Каждый паспорт — 2–4 страницы.</w:t>
      </w:r>
    </w:p>
    <w:p w:rsidR="007B646B" w:rsidRPr="002415A8" w:rsidRDefault="002415A8">
      <w:pPr>
        <w:pStyle w:val="a0"/>
        <w:rPr>
          <w:rFonts w:ascii="HeliosCondC" w:hAnsi="HeliosCondC"/>
        </w:rPr>
      </w:pPr>
      <w:r w:rsidRPr="002415A8">
        <w:rPr>
          <w:rFonts w:ascii="HeliosCondC" w:hAnsi="HeliosCondC"/>
        </w:rPr>
        <w:t>Что содержит каждый паспорт:</w:t>
      </w:r>
    </w:p>
    <w:p w:rsidR="007B646B" w:rsidRPr="002415A8" w:rsidRDefault="002415A8">
      <w:pPr>
        <w:pStyle w:val="Compact"/>
        <w:numPr>
          <w:ilvl w:val="0"/>
          <w:numId w:val="36"/>
        </w:numPr>
      </w:pPr>
      <w:r w:rsidRPr="002415A8">
        <w:t>Название, НГК, возраст</w:t>
      </w:r>
    </w:p>
    <w:p w:rsidR="007B646B" w:rsidRPr="002415A8" w:rsidRDefault="002415A8">
      <w:pPr>
        <w:pStyle w:val="Compact"/>
        <w:numPr>
          <w:ilvl w:val="0"/>
          <w:numId w:val="36"/>
        </w:numPr>
      </w:pPr>
      <w:r w:rsidRPr="002415A8">
        <w:t>Мини-карта (вырезка 1:1М)</w:t>
      </w:r>
    </w:p>
    <w:p w:rsidR="007B646B" w:rsidRPr="002415A8" w:rsidRDefault="002415A8">
      <w:pPr>
        <w:pStyle w:val="Compact"/>
        <w:numPr>
          <w:ilvl w:val="0"/>
          <w:numId w:val="36"/>
        </w:numPr>
      </w:pPr>
      <w:r w:rsidRPr="002415A8">
        <w:t>РБ P10/P50/P90, GCoS</w:t>
      </w:r>
    </w:p>
    <w:p w:rsidR="007B646B" w:rsidRDefault="002415A8">
      <w:pPr>
        <w:pStyle w:val="Compact"/>
        <w:numPr>
          <w:ilvl w:val="0"/>
          <w:numId w:val="36"/>
        </w:numPr>
      </w:pPr>
      <w:r>
        <w:t>Описание (2–3 абзаца)</w:t>
      </w:r>
    </w:p>
    <w:p w:rsidR="007B646B" w:rsidRDefault="002415A8">
      <w:pPr>
        <w:pStyle w:val="Compact"/>
        <w:numPr>
          <w:ilvl w:val="0"/>
          <w:numId w:val="36"/>
        </w:numPr>
      </w:pPr>
      <w:r>
        <w:t>Аналог месторождения</w:t>
      </w:r>
    </w:p>
    <w:p w:rsidR="007B646B" w:rsidRDefault="002415A8">
      <w:pPr>
        <w:pStyle w:val="Compact"/>
        <w:numPr>
          <w:ilvl w:val="0"/>
          <w:numId w:val="36"/>
        </w:numPr>
      </w:pPr>
      <w:r>
        <w:t>Торнадо-диаграмма</w:t>
      </w:r>
    </w:p>
    <w:p w:rsidR="007B646B" w:rsidRDefault="002415A8">
      <w:pPr>
        <w:pStyle w:val="Compact"/>
        <w:numPr>
          <w:ilvl w:val="0"/>
          <w:numId w:val="36"/>
        </w:numPr>
      </w:pPr>
      <w:r>
        <w:t>Неопределённости и рис</w:t>
      </w:r>
      <w:r>
        <w:t>ки</w:t>
      </w:r>
    </w:p>
    <w:p w:rsidR="007B646B" w:rsidRDefault="002415A8">
      <w:pPr>
        <w:pStyle w:val="Compact"/>
        <w:numPr>
          <w:ilvl w:val="0"/>
          <w:numId w:val="36"/>
        </w:numPr>
      </w:pPr>
      <w:bookmarkStart w:id="13" w:name="_GoBack"/>
      <w:bookmarkEnd w:id="13"/>
      <w:r>
        <w:t>ГРР (работы + бюджет)</w:t>
      </w:r>
      <w:bookmarkEnd w:id="0"/>
      <w:bookmarkEnd w:id="8"/>
      <w:bookmarkEnd w:id="12"/>
    </w:p>
    <w:sectPr w:rsidR="007B646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46B" w:rsidRDefault="002415A8">
      <w:pPr>
        <w:spacing w:after="0"/>
      </w:pPr>
      <w:r>
        <w:separator/>
      </w:r>
    </w:p>
  </w:endnote>
  <w:endnote w:type="continuationSeparator" w:id="0">
    <w:p w:rsidR="007B646B" w:rsidRDefault="002415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CondC">
    <w:panose1 w:val="000005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46B" w:rsidRDefault="002415A8">
      <w:r>
        <w:separator/>
      </w:r>
    </w:p>
  </w:footnote>
  <w:footnote w:type="continuationSeparator" w:id="0">
    <w:p w:rsidR="007B646B" w:rsidRDefault="00241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6590D"/>
    <w:multiLevelType w:val="hybridMultilevel"/>
    <w:tmpl w:val="1AD496E8"/>
    <w:lvl w:ilvl="0" w:tplc="D50A7ACE">
      <w:start w:val="1"/>
      <w:numFmt w:val="decimal"/>
      <w:lvlText w:val="%1."/>
      <w:lvlJc w:val="left"/>
      <w:pPr>
        <w:ind w:left="720" w:hanging="480"/>
      </w:pPr>
    </w:lvl>
    <w:lvl w:ilvl="1" w:tplc="CB38A2EE">
      <w:start w:val="1"/>
      <w:numFmt w:val="lowerLetter"/>
      <w:lvlText w:val="%2."/>
      <w:lvlJc w:val="left"/>
      <w:pPr>
        <w:ind w:left="1440" w:hanging="480"/>
      </w:pPr>
    </w:lvl>
    <w:lvl w:ilvl="2" w:tplc="0DB66780">
      <w:start w:val="1"/>
      <w:numFmt w:val="lowerRoman"/>
      <w:lvlText w:val="%3."/>
      <w:lvlJc w:val="left"/>
      <w:pPr>
        <w:ind w:left="2160" w:hanging="480"/>
      </w:pPr>
    </w:lvl>
    <w:lvl w:ilvl="3" w:tplc="F328FCAC">
      <w:start w:val="1"/>
      <w:numFmt w:val="decimal"/>
      <w:lvlText w:val="%4."/>
      <w:lvlJc w:val="left"/>
      <w:pPr>
        <w:ind w:left="2880" w:hanging="480"/>
      </w:pPr>
    </w:lvl>
    <w:lvl w:ilvl="4" w:tplc="E50C9E62">
      <w:start w:val="1"/>
      <w:numFmt w:val="lowerLetter"/>
      <w:lvlText w:val="%5."/>
      <w:lvlJc w:val="left"/>
      <w:pPr>
        <w:ind w:left="3600" w:hanging="480"/>
      </w:pPr>
    </w:lvl>
    <w:lvl w:ilvl="5" w:tplc="9C807624">
      <w:start w:val="1"/>
      <w:numFmt w:val="lowerRoman"/>
      <w:lvlText w:val="%6."/>
      <w:lvlJc w:val="left"/>
      <w:pPr>
        <w:ind w:left="4320" w:hanging="480"/>
      </w:pPr>
    </w:lvl>
    <w:lvl w:ilvl="6" w:tplc="CC6AAFAE">
      <w:start w:val="1"/>
      <w:numFmt w:val="decimal"/>
      <w:lvlText w:val="%7."/>
      <w:lvlJc w:val="left"/>
      <w:pPr>
        <w:ind w:left="5040" w:hanging="480"/>
      </w:pPr>
    </w:lvl>
    <w:lvl w:ilvl="7" w:tplc="1CC408F0">
      <w:start w:val="1"/>
      <w:numFmt w:val="lowerLetter"/>
      <w:lvlText w:val="%8."/>
      <w:lvlJc w:val="left"/>
      <w:pPr>
        <w:ind w:left="5760" w:hanging="480"/>
      </w:pPr>
    </w:lvl>
    <w:lvl w:ilvl="8" w:tplc="185C0598">
      <w:start w:val="1"/>
      <w:numFmt w:val="lowerRoman"/>
      <w:lvlText w:val="%9."/>
      <w:lvlJc w:val="left"/>
      <w:pPr>
        <w:ind w:left="6480" w:hanging="480"/>
      </w:pPr>
    </w:lvl>
  </w:abstractNum>
  <w:abstractNum w:abstractNumId="1" w15:restartNumberingAfterBreak="0">
    <w:nsid w:val="2CEA4DD9"/>
    <w:multiLevelType w:val="hybridMultilevel"/>
    <w:tmpl w:val="A838D5CC"/>
    <w:lvl w:ilvl="0" w:tplc="9F7A79D2">
      <w:start w:val="1"/>
      <w:numFmt w:val="bullet"/>
      <w:lvlText w:val="•"/>
      <w:lvlJc w:val="left"/>
      <w:pPr>
        <w:ind w:left="720" w:hanging="480"/>
      </w:pPr>
    </w:lvl>
    <w:lvl w:ilvl="1" w:tplc="D1925996">
      <w:start w:val="1"/>
      <w:numFmt w:val="bullet"/>
      <w:pStyle w:val="Compact"/>
      <w:lvlText w:val="–"/>
      <w:lvlJc w:val="left"/>
      <w:pPr>
        <w:ind w:left="1440" w:hanging="480"/>
      </w:pPr>
    </w:lvl>
    <w:lvl w:ilvl="2" w:tplc="28AE1380">
      <w:start w:val="1"/>
      <w:numFmt w:val="bullet"/>
      <w:lvlText w:val="•"/>
      <w:lvlJc w:val="left"/>
      <w:pPr>
        <w:ind w:left="2160" w:hanging="480"/>
      </w:pPr>
    </w:lvl>
    <w:lvl w:ilvl="3" w:tplc="7618FB6A">
      <w:start w:val="1"/>
      <w:numFmt w:val="bullet"/>
      <w:lvlText w:val="–"/>
      <w:lvlJc w:val="left"/>
      <w:pPr>
        <w:ind w:left="2880" w:hanging="480"/>
      </w:pPr>
    </w:lvl>
    <w:lvl w:ilvl="4" w:tplc="D040E59A">
      <w:start w:val="1"/>
      <w:numFmt w:val="bullet"/>
      <w:lvlText w:val="•"/>
      <w:lvlJc w:val="left"/>
      <w:pPr>
        <w:ind w:left="3600" w:hanging="480"/>
      </w:pPr>
    </w:lvl>
    <w:lvl w:ilvl="5" w:tplc="DC100084">
      <w:start w:val="1"/>
      <w:numFmt w:val="bullet"/>
      <w:lvlText w:val="–"/>
      <w:lvlJc w:val="left"/>
      <w:pPr>
        <w:ind w:left="4320" w:hanging="480"/>
      </w:pPr>
    </w:lvl>
    <w:lvl w:ilvl="6" w:tplc="2D4874F4">
      <w:start w:val="1"/>
      <w:numFmt w:val="bullet"/>
      <w:lvlText w:val="•"/>
      <w:lvlJc w:val="left"/>
      <w:pPr>
        <w:ind w:left="5040" w:hanging="480"/>
      </w:pPr>
    </w:lvl>
    <w:lvl w:ilvl="7" w:tplc="2BCEE7DC">
      <w:start w:val="1"/>
      <w:numFmt w:val="bullet"/>
      <w:lvlText w:val="–"/>
      <w:lvlJc w:val="left"/>
      <w:pPr>
        <w:ind w:left="5760" w:hanging="480"/>
      </w:pPr>
    </w:lvl>
    <w:lvl w:ilvl="8" w:tplc="A9CA380C">
      <w:start w:val="1"/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39B16D3C"/>
    <w:multiLevelType w:val="hybridMultilevel"/>
    <w:tmpl w:val="EC7C194C"/>
    <w:lvl w:ilvl="0" w:tplc="E81ABA0E">
      <w:start w:val="1"/>
      <w:numFmt w:val="decimal"/>
      <w:lvlText w:val="%1."/>
      <w:lvlJc w:val="left"/>
      <w:pPr>
        <w:ind w:left="720" w:hanging="480"/>
      </w:pPr>
    </w:lvl>
    <w:lvl w:ilvl="1" w:tplc="2E4CA0D8">
      <w:start w:val="1"/>
      <w:numFmt w:val="lowerLetter"/>
      <w:lvlText w:val="%2."/>
      <w:lvlJc w:val="left"/>
      <w:pPr>
        <w:ind w:left="1440" w:hanging="480"/>
      </w:pPr>
    </w:lvl>
    <w:lvl w:ilvl="2" w:tplc="11B2440E">
      <w:start w:val="1"/>
      <w:numFmt w:val="lowerRoman"/>
      <w:lvlText w:val="%3."/>
      <w:lvlJc w:val="left"/>
      <w:pPr>
        <w:ind w:left="2160" w:hanging="480"/>
      </w:pPr>
    </w:lvl>
    <w:lvl w:ilvl="3" w:tplc="1BEC7D48">
      <w:start w:val="1"/>
      <w:numFmt w:val="decimal"/>
      <w:lvlText w:val="%4."/>
      <w:lvlJc w:val="left"/>
      <w:pPr>
        <w:ind w:left="2880" w:hanging="480"/>
      </w:pPr>
    </w:lvl>
    <w:lvl w:ilvl="4" w:tplc="B740BA96">
      <w:start w:val="1"/>
      <w:numFmt w:val="lowerLetter"/>
      <w:lvlText w:val="%5."/>
      <w:lvlJc w:val="left"/>
      <w:pPr>
        <w:ind w:left="3600" w:hanging="480"/>
      </w:pPr>
    </w:lvl>
    <w:lvl w:ilvl="5" w:tplc="C39CC0C6">
      <w:start w:val="1"/>
      <w:numFmt w:val="lowerRoman"/>
      <w:lvlText w:val="%6."/>
      <w:lvlJc w:val="left"/>
      <w:pPr>
        <w:ind w:left="4320" w:hanging="480"/>
      </w:pPr>
    </w:lvl>
    <w:lvl w:ilvl="6" w:tplc="214E022A">
      <w:start w:val="1"/>
      <w:numFmt w:val="decimal"/>
      <w:lvlText w:val="%7."/>
      <w:lvlJc w:val="left"/>
      <w:pPr>
        <w:ind w:left="5040" w:hanging="480"/>
      </w:pPr>
    </w:lvl>
    <w:lvl w:ilvl="7" w:tplc="6054EB42">
      <w:start w:val="1"/>
      <w:numFmt w:val="lowerLetter"/>
      <w:lvlText w:val="%8."/>
      <w:lvlJc w:val="left"/>
      <w:pPr>
        <w:ind w:left="5760" w:hanging="480"/>
      </w:pPr>
    </w:lvl>
    <w:lvl w:ilvl="8" w:tplc="DC542D32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74D02CAF"/>
    <w:multiLevelType w:val="hybridMultilevel"/>
    <w:tmpl w:val="EDEADEF8"/>
    <w:lvl w:ilvl="0" w:tplc="6B3A1320">
      <w:start w:val="1"/>
      <w:numFmt w:val="bullet"/>
      <w:lvlText w:val=" "/>
      <w:lvlJc w:val="left"/>
      <w:pPr>
        <w:ind w:left="720" w:hanging="480"/>
      </w:pPr>
    </w:lvl>
    <w:lvl w:ilvl="1" w:tplc="26EA2162">
      <w:start w:val="1"/>
      <w:numFmt w:val="bullet"/>
      <w:lvlText w:val=" "/>
      <w:lvlJc w:val="left"/>
      <w:pPr>
        <w:ind w:left="1440" w:hanging="480"/>
      </w:pPr>
    </w:lvl>
    <w:lvl w:ilvl="2" w:tplc="326844FE">
      <w:start w:val="1"/>
      <w:numFmt w:val="bullet"/>
      <w:lvlText w:val=" "/>
      <w:lvlJc w:val="left"/>
      <w:pPr>
        <w:ind w:left="2160" w:hanging="480"/>
      </w:pPr>
    </w:lvl>
    <w:lvl w:ilvl="3" w:tplc="28B63576">
      <w:start w:val="1"/>
      <w:numFmt w:val="bullet"/>
      <w:lvlText w:val=" "/>
      <w:lvlJc w:val="left"/>
      <w:pPr>
        <w:ind w:left="2880" w:hanging="480"/>
      </w:pPr>
    </w:lvl>
    <w:lvl w:ilvl="4" w:tplc="5FA6C8B8">
      <w:start w:val="1"/>
      <w:numFmt w:val="bullet"/>
      <w:lvlText w:val=" "/>
      <w:lvlJc w:val="left"/>
      <w:pPr>
        <w:ind w:left="3600" w:hanging="480"/>
      </w:pPr>
    </w:lvl>
    <w:lvl w:ilvl="5" w:tplc="DC58CA72">
      <w:start w:val="1"/>
      <w:numFmt w:val="bullet"/>
      <w:lvlText w:val=" "/>
      <w:lvlJc w:val="left"/>
      <w:pPr>
        <w:ind w:left="4320" w:hanging="480"/>
      </w:pPr>
    </w:lvl>
    <w:lvl w:ilvl="6" w:tplc="0F1E7724">
      <w:start w:val="1"/>
      <w:numFmt w:val="bullet"/>
      <w:lvlText w:val=" "/>
      <w:lvlJc w:val="left"/>
      <w:pPr>
        <w:ind w:left="5040" w:hanging="480"/>
      </w:pPr>
    </w:lvl>
    <w:lvl w:ilvl="7" w:tplc="34006A3E">
      <w:start w:val="1"/>
      <w:numFmt w:val="bullet"/>
      <w:lvlText w:val=" "/>
      <w:lvlJc w:val="left"/>
      <w:pPr>
        <w:ind w:left="5760" w:hanging="480"/>
      </w:pPr>
    </w:lvl>
    <w:lvl w:ilvl="8" w:tplc="68D4F72E">
      <w:start w:val="1"/>
      <w:numFmt w:val="bullet"/>
      <w:lvlText w:val=" "/>
      <w:lvlJc w:val="left"/>
      <w:pPr>
        <w:ind w:left="6480" w:hanging="4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3"/>
  </w:num>
  <w:num w:numId="29">
    <w:abstractNumId w:val="1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1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6B"/>
    <w:rsid w:val="002415A8"/>
    <w:rsid w:val="007B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1856B-D384-4643-81FB-960338C5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pPr>
      <w:keepNext/>
      <w:keepLines/>
      <w:spacing w:before="480" w:after="0"/>
      <w:outlineLvl w:val="0"/>
    </w:pPr>
    <w:rPr>
      <w:rFonts w:ascii="HeliosCondC" w:eastAsiaTheme="majorEastAsia" w:hAnsi="HeliosCondC" w:cstheme="majorBidi"/>
      <w:b/>
      <w:bCs/>
      <w:color w:val="4F81BD" w:themeColor="accent1"/>
      <w:sz w:val="32"/>
      <w:szCs w:val="32"/>
      <w:lang w:val="ru-RU"/>
    </w:rPr>
  </w:style>
  <w:style w:type="paragraph" w:styleId="2">
    <w:name w:val="heading 2"/>
    <w:basedOn w:val="a"/>
    <w:next w:val="a0"/>
    <w:link w:val="20"/>
    <w:uiPriority w:val="9"/>
    <w:unhideWhenUsed/>
    <w:qFormat/>
    <w:pPr>
      <w:keepNext/>
      <w:keepLines/>
      <w:spacing w:before="200" w:after="0"/>
      <w:outlineLvl w:val="1"/>
    </w:pPr>
    <w:rPr>
      <w:rFonts w:ascii="HeliosCondC" w:eastAsiaTheme="majorEastAsia" w:hAnsi="HeliosCondC" w:cstheme="majorBidi"/>
      <w:b/>
      <w:bCs/>
      <w:color w:val="4F81BD" w:themeColor="accent1"/>
      <w:sz w:val="28"/>
      <w:szCs w:val="28"/>
      <w:lang w:val="ru-RU"/>
    </w:rPr>
  </w:style>
  <w:style w:type="paragraph" w:styleId="3">
    <w:name w:val="heading 3"/>
    <w:basedOn w:val="a"/>
    <w:next w:val="a0"/>
    <w:link w:val="30"/>
    <w:uiPriority w:val="9"/>
    <w:unhideWhenUsed/>
    <w:qFormat/>
    <w:pPr>
      <w:keepNext/>
      <w:keepLines/>
      <w:spacing w:before="200" w:after="0"/>
      <w:outlineLvl w:val="2"/>
    </w:pPr>
    <w:rPr>
      <w:rFonts w:ascii="HeliosCondC" w:eastAsiaTheme="majorEastAsia" w:hAnsi="HeliosCondC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0"/>
    <w:link w:val="40"/>
    <w:uiPriority w:val="9"/>
    <w:unhideWhenUsed/>
    <w:qFormat/>
    <w:pPr>
      <w:keepNext/>
      <w:keepLines/>
      <w:spacing w:before="200" w:after="0"/>
      <w:outlineLvl w:val="3"/>
    </w:pPr>
    <w:rPr>
      <w:rFonts w:ascii="HeliosCondC" w:eastAsiaTheme="majorEastAsia" w:hAnsi="HeliosCondC" w:cstheme="majorBidi"/>
      <w:bCs/>
      <w:i/>
      <w:color w:val="4F81BD" w:themeColor="accent1"/>
    </w:rPr>
  </w:style>
  <w:style w:type="paragraph" w:styleId="5">
    <w:name w:val="heading 5"/>
    <w:basedOn w:val="a"/>
    <w:next w:val="a0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/>
    </w:pPr>
  </w:style>
  <w:style w:type="character" w:customStyle="1" w:styleId="a6">
    <w:name w:val="Заголовок Знак"/>
    <w:basedOn w:val="a1"/>
    <w:link w:val="a7"/>
    <w:uiPriority w:val="10"/>
    <w:rPr>
      <w:sz w:val="48"/>
      <w:szCs w:val="48"/>
    </w:rPr>
  </w:style>
  <w:style w:type="character" w:customStyle="1" w:styleId="a8">
    <w:name w:val="Подзаголовок Знак"/>
    <w:basedOn w:val="a1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d">
    <w:name w:val="Верхний колонтитул Знак"/>
    <w:basedOn w:val="a1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f">
    <w:name w:val="Нижний колонтитул Знак"/>
    <w:basedOn w:val="a1"/>
    <w:link w:val="ae"/>
    <w:uiPriority w:val="99"/>
  </w:style>
  <w:style w:type="character" w:customStyle="1" w:styleId="CaptionChar">
    <w:name w:val="Caption Char"/>
    <w:basedOn w:val="a1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2"/>
    <w:uiPriority w:val="59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1">
    <w:name w:val="Текст сноски Знак"/>
    <w:link w:val="af2"/>
    <w:uiPriority w:val="99"/>
    <w:rPr>
      <w:sz w:val="18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numPr>
        <w:ilvl w:val="1"/>
        <w:numId w:val="4"/>
      </w:numPr>
      <w:spacing w:before="36" w:after="36"/>
    </w:pPr>
    <w:rPr>
      <w:rFonts w:ascii="HeliosCondC" w:hAnsi="HeliosCondC"/>
      <w:lang w:val="ru-RU"/>
    </w:rPr>
  </w:style>
  <w:style w:type="paragraph" w:styleId="a7">
    <w:name w:val="Title"/>
    <w:basedOn w:val="a"/>
    <w:next w:val="a0"/>
    <w:link w:val="a6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  <w:lang w:val="ru-RU"/>
    </w:rPr>
  </w:style>
  <w:style w:type="paragraph" w:styleId="a9">
    <w:name w:val="Subtitle"/>
    <w:basedOn w:val="a7"/>
    <w:next w:val="a0"/>
    <w:link w:val="a8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f7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f8">
    <w:name w:val="Bibliography"/>
    <w:basedOn w:val="a"/>
    <w:qFormat/>
  </w:style>
  <w:style w:type="paragraph" w:styleId="af9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f2">
    <w:name w:val="footnote text"/>
    <w:basedOn w:val="a"/>
    <w:link w:val="af1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000000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fa">
    <w:name w:val="caption"/>
    <w:basedOn w:val="a"/>
    <w:link w:val="afb"/>
    <w:pPr>
      <w:spacing w:after="120"/>
    </w:pPr>
    <w:rPr>
      <w:i/>
    </w:rPr>
  </w:style>
  <w:style w:type="paragraph" w:customStyle="1" w:styleId="TableCaption">
    <w:name w:val="Table Caption"/>
    <w:basedOn w:val="afa"/>
    <w:pPr>
      <w:keepNext/>
    </w:pPr>
  </w:style>
  <w:style w:type="paragraph" w:customStyle="1" w:styleId="ImageCaption">
    <w:name w:val="Image Caption"/>
    <w:basedOn w:val="af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fb">
    <w:name w:val="Название объекта Знак"/>
    <w:basedOn w:val="a1"/>
    <w:link w:val="afa"/>
  </w:style>
  <w:style w:type="character" w:customStyle="1" w:styleId="VerbatimChar">
    <w:name w:val="Verbatim Char"/>
    <w:basedOn w:val="afb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fb"/>
  </w:style>
  <w:style w:type="character" w:styleId="afc">
    <w:name w:val="footnote reference"/>
    <w:basedOn w:val="afb"/>
    <w:rPr>
      <w:vertAlign w:val="superscript"/>
    </w:rPr>
  </w:style>
  <w:style w:type="character" w:styleId="afd">
    <w:name w:val="Hyperlink"/>
    <w:basedOn w:val="afb"/>
    <w:rPr>
      <w:color w:val="4F81BD" w:themeColor="accent1"/>
    </w:rPr>
  </w:style>
  <w:style w:type="paragraph" w:styleId="af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5005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01_МикроТЗ_Формирование_гипотез</vt:lpstr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01_МикроТЗ_Формирование_гипотез</dc:title>
  <dc:creator>Мильке Елена Федоровна</dc:creator>
  <cp:keywords/>
  <cp:lastModifiedBy>Мильке Елена Федоровна</cp:lastModifiedBy>
  <cp:revision>2</cp:revision>
  <dcterms:created xsi:type="dcterms:W3CDTF">2025-10-24T08:29:00Z</dcterms:created>
  <dcterms:modified xsi:type="dcterms:W3CDTF">2025-10-24T08:29:00Z</dcterms:modified>
</cp:coreProperties>
</file>